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4C39" w:rsidRPr="00C84C39" w:rsidRDefault="00C84C39" w:rsidP="00C84C39">
      <w:pPr>
        <w:jc w:val="center"/>
        <w:rPr>
          <w:b/>
        </w:rPr>
      </w:pPr>
      <w:r w:rsidRPr="00C84C39">
        <w:rPr>
          <w:rStyle w:val="selectable-text"/>
          <w:b/>
        </w:rPr>
        <w:t>PENINGKATAN KEPEDULIAN LINGKUNGAN DI KALANGAN MAHASISWA TERHADAP GREEN MARKETING</w:t>
      </w:r>
    </w:p>
    <w:p w:rsidR="00C84C39" w:rsidRPr="00FC4C45" w:rsidRDefault="00C84C39" w:rsidP="00C84C39">
      <w:pPr>
        <w:jc w:val="center"/>
        <w:rPr>
          <w:b/>
        </w:rPr>
      </w:pPr>
    </w:p>
    <w:p w:rsidR="00C84C39" w:rsidRPr="00FC4C45" w:rsidRDefault="00C84C39" w:rsidP="00C84C39">
      <w:pPr>
        <w:pStyle w:val="StyleAuthorsAfter1pt"/>
        <w:framePr w:w="0" w:hSpace="0" w:vSpace="0" w:wrap="auto" w:vAnchor="margin" w:hAnchor="text" w:xAlign="left" w:yAlign="inline"/>
        <w:rPr>
          <w:b/>
          <w:bCs/>
          <w:sz w:val="22"/>
          <w:szCs w:val="22"/>
          <w:lang w:eastAsia="id-ID"/>
        </w:rPr>
      </w:pPr>
      <w:bookmarkStart w:id="0" w:name="_GoBack"/>
      <w:r>
        <w:rPr>
          <w:b/>
          <w:sz w:val="22"/>
          <w:szCs w:val="22"/>
        </w:rPr>
        <w:t>Arvin Shankar</w:t>
      </w:r>
      <w:r w:rsidRPr="00FC4C45">
        <w:rPr>
          <w:b/>
          <w:bCs/>
          <w:sz w:val="22"/>
          <w:szCs w:val="22"/>
          <w:vertAlign w:val="superscript"/>
          <w:lang w:eastAsia="id-ID"/>
        </w:rPr>
        <w:t>1</w:t>
      </w:r>
      <w:bookmarkEnd w:id="0"/>
      <w:r w:rsidRPr="00FC4C45">
        <w:rPr>
          <w:b/>
          <w:bCs/>
          <w:sz w:val="22"/>
          <w:szCs w:val="22"/>
          <w:vertAlign w:val="superscript"/>
          <w:lang w:eastAsia="id-ID"/>
        </w:rPr>
        <w:t>)</w:t>
      </w:r>
      <w:r w:rsidRPr="00FC4C45">
        <w:rPr>
          <w:b/>
          <w:bCs/>
          <w:sz w:val="22"/>
          <w:szCs w:val="22"/>
          <w:lang w:eastAsia="id-ID"/>
        </w:rPr>
        <w:t xml:space="preserve">, </w:t>
      </w:r>
      <w:r w:rsidRPr="00FC4C45">
        <w:rPr>
          <w:b/>
          <w:sz w:val="22"/>
          <w:szCs w:val="22"/>
        </w:rPr>
        <w:t>Yolanda Masnita</w:t>
      </w:r>
      <w:r w:rsidRPr="00FC4C45">
        <w:rPr>
          <w:b/>
          <w:sz w:val="22"/>
          <w:szCs w:val="22"/>
          <w:lang w:val="id-ID"/>
        </w:rPr>
        <w:t xml:space="preserve"> </w:t>
      </w:r>
      <w:r w:rsidRPr="00FC4C45">
        <w:rPr>
          <w:sz w:val="22"/>
          <w:szCs w:val="22"/>
          <w:vertAlign w:val="superscript"/>
          <w:lang w:eastAsia="id-ID"/>
        </w:rPr>
        <w:t>2</w:t>
      </w:r>
      <w:r w:rsidRPr="00FC4C45">
        <w:rPr>
          <w:b/>
          <w:bCs/>
          <w:sz w:val="22"/>
          <w:szCs w:val="22"/>
          <w:vertAlign w:val="superscript"/>
          <w:lang w:eastAsia="id-ID"/>
        </w:rPr>
        <w:t>)</w:t>
      </w:r>
    </w:p>
    <w:p w:rsidR="00C84C39" w:rsidRPr="00FC4C45" w:rsidRDefault="00C84C39" w:rsidP="00C84C39">
      <w:pPr>
        <w:pStyle w:val="StyleAuthorsAfter1pt"/>
        <w:framePr w:w="0" w:hSpace="0" w:vSpace="0" w:wrap="auto" w:vAnchor="margin" w:hAnchor="text" w:xAlign="left" w:yAlign="inline"/>
        <w:rPr>
          <w:sz w:val="22"/>
          <w:szCs w:val="22"/>
          <w:lang w:val="id-ID"/>
        </w:rPr>
      </w:pPr>
      <w:r w:rsidRPr="00FC4C45">
        <w:rPr>
          <w:b/>
          <w:bCs/>
          <w:sz w:val="22"/>
          <w:szCs w:val="22"/>
          <w:vertAlign w:val="superscript"/>
          <w:lang w:eastAsia="id-ID"/>
        </w:rPr>
        <w:t>1)</w:t>
      </w:r>
      <w:proofErr w:type="gramStart"/>
      <w:r w:rsidRPr="00FC4C45">
        <w:rPr>
          <w:b/>
          <w:bCs/>
          <w:sz w:val="22"/>
          <w:szCs w:val="22"/>
          <w:vertAlign w:val="superscript"/>
          <w:lang w:eastAsia="id-ID"/>
        </w:rPr>
        <w:t>,</w:t>
      </w:r>
      <w:r w:rsidRPr="00FC4C45">
        <w:rPr>
          <w:sz w:val="22"/>
          <w:szCs w:val="22"/>
          <w:vertAlign w:val="superscript"/>
          <w:lang w:eastAsia="id-ID"/>
        </w:rPr>
        <w:t>2</w:t>
      </w:r>
      <w:proofErr w:type="gramEnd"/>
      <w:r w:rsidRPr="00FC4C45">
        <w:rPr>
          <w:b/>
          <w:bCs/>
          <w:sz w:val="22"/>
          <w:szCs w:val="22"/>
          <w:vertAlign w:val="superscript"/>
          <w:lang w:eastAsia="id-ID"/>
        </w:rPr>
        <w:t xml:space="preserve">) </w:t>
      </w:r>
      <w:r w:rsidRPr="00FC4C45">
        <w:rPr>
          <w:sz w:val="22"/>
          <w:szCs w:val="22"/>
        </w:rPr>
        <w:t>Fakultas Ekonomi dan Bisnis ,Universitas Trisakti</w:t>
      </w:r>
    </w:p>
    <w:p w:rsidR="00C84C39" w:rsidRPr="00FC4C45" w:rsidRDefault="00C84C39" w:rsidP="00C84C39">
      <w:pPr>
        <w:pStyle w:val="StyleAuthorsAfter1pt"/>
        <w:framePr w:w="0" w:hSpace="0" w:vSpace="0" w:wrap="auto" w:vAnchor="margin" w:hAnchor="text" w:xAlign="left" w:yAlign="inline"/>
        <w:rPr>
          <w:b/>
          <w:bCs/>
          <w:sz w:val="22"/>
          <w:szCs w:val="22"/>
          <w:vertAlign w:val="superscript"/>
          <w:lang w:eastAsia="id-ID"/>
        </w:rPr>
      </w:pPr>
      <w:proofErr w:type="gramStart"/>
      <w:r w:rsidRPr="00FC4C45">
        <w:rPr>
          <w:i/>
          <w:sz w:val="22"/>
          <w:szCs w:val="22"/>
        </w:rPr>
        <w:t>Email</w:t>
      </w:r>
      <w:r w:rsidRPr="00FC4C45">
        <w:rPr>
          <w:sz w:val="22"/>
          <w:szCs w:val="22"/>
        </w:rPr>
        <w:t xml:space="preserve"> :</w:t>
      </w:r>
      <w:proofErr w:type="gramEnd"/>
      <w:r w:rsidRPr="00FC4C45">
        <w:rPr>
          <w:sz w:val="22"/>
          <w:szCs w:val="22"/>
        </w:rPr>
        <w:t xml:space="preserve"> </w:t>
      </w:r>
      <w:hyperlink r:id="rId7" w:history="1">
        <w:r w:rsidRPr="00C84C39">
          <w:rPr>
            <w:rStyle w:val="Hyperlink"/>
          </w:rPr>
          <w:t xml:space="preserve"> </w:t>
        </w:r>
        <w:r>
          <w:rPr>
            <w:rStyle w:val="selectable-text"/>
          </w:rPr>
          <w:t>arvinshankar1@gmail.com</w:t>
        </w:r>
        <w:r w:rsidRPr="00FC4C45">
          <w:rPr>
            <w:rStyle w:val="Hyperlink"/>
            <w:b/>
            <w:bCs/>
            <w:color w:val="auto"/>
            <w:sz w:val="22"/>
            <w:szCs w:val="22"/>
            <w:u w:val="none"/>
            <w:vertAlign w:val="superscript"/>
            <w:lang w:eastAsia="id-ID"/>
          </w:rPr>
          <w:t>1</w:t>
        </w:r>
      </w:hyperlink>
      <w:r w:rsidRPr="00FC4C45">
        <w:rPr>
          <w:b/>
          <w:bCs/>
          <w:sz w:val="22"/>
          <w:szCs w:val="22"/>
          <w:vertAlign w:val="superscript"/>
          <w:lang w:eastAsia="id-ID"/>
        </w:rPr>
        <w:t>)</w:t>
      </w:r>
    </w:p>
    <w:p w:rsidR="00C84C39" w:rsidRPr="00FC4C45" w:rsidRDefault="00C84C39" w:rsidP="00C84C39">
      <w:pPr>
        <w:shd w:val="clear" w:color="auto" w:fill="FFFFFF"/>
        <w:rPr>
          <w:rFonts w:eastAsia="Calibri"/>
          <w:i/>
          <w:lang w:eastAsia="ja-JP"/>
        </w:rPr>
      </w:pPr>
    </w:p>
    <w:p w:rsidR="00C84C39" w:rsidRPr="00FC4C45" w:rsidRDefault="00C84C39" w:rsidP="00C84C39">
      <w:pPr>
        <w:jc w:val="center"/>
        <w:rPr>
          <w:b/>
          <w:i/>
        </w:rPr>
      </w:pPr>
      <w:r w:rsidRPr="00FC4C45">
        <w:rPr>
          <w:b/>
          <w:i/>
        </w:rPr>
        <w:t>Abstract</w:t>
      </w:r>
    </w:p>
    <w:p w:rsidR="00C84C39" w:rsidRPr="00C84C39" w:rsidRDefault="00C84C39" w:rsidP="00C84C39">
      <w:pPr>
        <w:rPr>
          <w:b/>
          <w:i/>
          <w:szCs w:val="22"/>
        </w:rPr>
      </w:pPr>
      <w:r w:rsidRPr="00C84C39">
        <w:rPr>
          <w:rFonts w:eastAsia="Arial Narrow"/>
          <w:i/>
          <w:szCs w:val="22"/>
        </w:rPr>
        <w:t>Social media and campaigns among students are quite influential in making students more equitable in protecting the environment and using environmentally friendly products. This study aims to analyze environmental problems that can affect the life of all living things. The instrument of this research is using a questionnaire created using a Google form that is distributed online. Respondents in this study were the age group of 17 years and over. This study contributes to this test of consistency between environmental concern and pro-env intention variables</w:t>
      </w:r>
      <w:proofErr w:type="gramStart"/>
      <w:r w:rsidRPr="00C84C39">
        <w:rPr>
          <w:rFonts w:eastAsia="Arial Narrow"/>
          <w:i/>
          <w:szCs w:val="22"/>
        </w:rPr>
        <w:t>.</w:t>
      </w:r>
      <w:r w:rsidRPr="00C84C39">
        <w:rPr>
          <w:rFonts w:eastAsia="Calibri"/>
          <w:i/>
          <w:szCs w:val="22"/>
          <w:lang w:eastAsia="ja-JP"/>
        </w:rPr>
        <w:t>.</w:t>
      </w:r>
      <w:proofErr w:type="gramEnd"/>
    </w:p>
    <w:p w:rsidR="00C84C39" w:rsidRPr="00C84C39" w:rsidRDefault="00C84C39" w:rsidP="00C84C39">
      <w:pPr>
        <w:shd w:val="clear" w:color="auto" w:fill="FFFFFF"/>
        <w:rPr>
          <w:i/>
          <w:szCs w:val="22"/>
          <w:lang w:eastAsia="ja-JP"/>
        </w:rPr>
      </w:pPr>
    </w:p>
    <w:p w:rsidR="00C84C39" w:rsidRPr="00C84C39" w:rsidRDefault="00C84C39" w:rsidP="00C84C39">
      <w:pPr>
        <w:pStyle w:val="TextBody"/>
        <w:ind w:firstLine="0"/>
        <w:rPr>
          <w:rFonts w:eastAsia="SimSun"/>
          <w:b/>
          <w:i/>
          <w:sz w:val="22"/>
          <w:szCs w:val="22"/>
          <w:lang w:eastAsia="zh-CN"/>
        </w:rPr>
      </w:pPr>
      <w:proofErr w:type="gramStart"/>
      <w:r w:rsidRPr="00C84C39">
        <w:rPr>
          <w:rFonts w:eastAsia="SimSun"/>
          <w:b/>
          <w:i/>
          <w:sz w:val="22"/>
          <w:szCs w:val="22"/>
          <w:lang w:eastAsia="zh-CN"/>
        </w:rPr>
        <w:t>Keywords :</w:t>
      </w:r>
      <w:proofErr w:type="gramEnd"/>
      <w:r w:rsidRPr="00C84C39">
        <w:rPr>
          <w:rFonts w:eastAsia="SimSun"/>
          <w:b/>
          <w:i/>
          <w:sz w:val="22"/>
          <w:szCs w:val="22"/>
          <w:lang w:eastAsia="zh-CN"/>
        </w:rPr>
        <w:t xml:space="preserve"> </w:t>
      </w:r>
      <w:r w:rsidRPr="00C84C39">
        <w:rPr>
          <w:i/>
          <w:sz w:val="22"/>
          <w:szCs w:val="22"/>
        </w:rPr>
        <w:t>Green marketing, Sustainable behavior, Social cognitive theory, Values–beliefs–norms, Young consumers, Sequential mediation</w:t>
      </w:r>
    </w:p>
    <w:p w:rsidR="00C84C39" w:rsidRPr="00FC4C45" w:rsidRDefault="00C84C39" w:rsidP="00C84C39">
      <w:pPr>
        <w:pStyle w:val="StyleAuthorsAfter1pt"/>
        <w:framePr w:w="0" w:hSpace="0" w:vSpace="0" w:wrap="auto" w:vAnchor="margin" w:hAnchor="text" w:xAlign="left" w:yAlign="inline"/>
        <w:jc w:val="left"/>
        <w:rPr>
          <w:b/>
          <w:bCs/>
          <w:sz w:val="22"/>
          <w:szCs w:val="22"/>
          <w:vertAlign w:val="superscript"/>
          <w:lang w:eastAsia="id-ID"/>
        </w:rPr>
      </w:pPr>
    </w:p>
    <w:p w:rsidR="00C84C39" w:rsidRPr="00FC4C45" w:rsidRDefault="00C84C39" w:rsidP="00C84C39">
      <w:pPr>
        <w:pStyle w:val="Heading1"/>
        <w:spacing w:before="94"/>
        <w:ind w:left="0"/>
      </w:pPr>
      <w:r w:rsidRPr="00FC4C45">
        <w:t>PENDAHULUAN</w:t>
      </w:r>
    </w:p>
    <w:p w:rsidR="00C84C39" w:rsidRPr="00FC4C45" w:rsidRDefault="00C84C39" w:rsidP="00C84C39">
      <w:pPr>
        <w:spacing w:before="165"/>
        <w:ind w:left="116"/>
        <w:rPr>
          <w:iCs/>
        </w:rPr>
      </w:pPr>
    </w:p>
    <w:p w:rsidR="00992158" w:rsidRPr="00992158" w:rsidRDefault="00C84C39" w:rsidP="00992158">
      <w:pPr>
        <w:rPr>
          <w:b/>
          <w:szCs w:val="22"/>
        </w:rPr>
      </w:pPr>
      <w:r w:rsidRPr="00FC4C45">
        <w:rPr>
          <w:spacing w:val="-1"/>
        </w:rPr>
        <w:tab/>
      </w:r>
      <w:r w:rsidR="00992158" w:rsidRPr="00992158">
        <w:rPr>
          <w:szCs w:val="22"/>
        </w:rPr>
        <w:t xml:space="preserve">Berbagai dampak negatif perubahan iklim terhadaplingkungan telah menarik perhatian para pemangku kepentingan untuk mengambil tindakan intervensi untuk mengurangi dampaknya </w:t>
      </w:r>
      <w:r w:rsidR="00915A1B">
        <w:rPr>
          <w:szCs w:val="22"/>
        </w:rPr>
        <w:fldChar w:fldCharType="begin" w:fldLock="1"/>
      </w:r>
      <w:r w:rsidR="00915A1B">
        <w:rPr>
          <w:szCs w:val="22"/>
        </w:rPr>
        <w:instrText>ADDIN CSL_CITATION {"citationItems":[{"id":"ITEM-1","itemData":{"DOI":"10.1108/JCM-01-2018-2537","ISSN":"07363761","abstract":"Purpose: This study aims to explore how young adults understand the climate change problem. It also explores whether environmental paradigms explain how young adults perceive climate change risks in their everyday green conscious behavior. Design/methodology/approach: This interpretive research draws on in-depth interviews with 20 young Australians (aged between 19-25 years) who engage in green conscious behavior. Findings: Three thematic categories (“non-local” climate change risk, oscillation between environmental paradigms and anthropocentric environmentalism) emerged from the data. The study finds that “non-local” climate change risk perceptions and environmental paradigms inform green conscious behavior. However, no association between environmental paradigms and climate change risk perceptions is found. The study postulates a skeletal theoretical framework for understanding the green conscious behavior of young adults. Practical implications: Recommendations are provided on how to sustain young adults’ interest in environmental wellbeing and in promoting green commodities in young consumer markets. Suggestions include creating a clear awareness of climate change with a constructive or positive appeal resolving ‘non-local’ climate change risk perceptions and position green commodities as “pro-actions” or “solutions”, as opposed to “reactions”, when reaching young consumer markets. Originality/value: A high level of green consciousness among young adults is recorded in recent global surveys. This green conscious young consumer segment, however, appears to be largely ignored by green commodity marketers. This study provides green commodity marketers with necessary insights to explore the opportunities that might arise in this unique market segment.","author":[{"dropping-particle":"","family":"Perera","given":"Chamila","non-dropping-particle":"","parse-names":false,"suffix":""},{"dropping-particle":"","family":"Hewege","given":"Chandana","non-dropping-particle":"","parse-names":false,"suffix":""}],"container-title":"Journal of Consumer Marketing","id":"ITEM-1","issue":"7","issued":{"date-parts":[["2018"]]},"page":"754-766","title":"Climate change risk perceptions among green conscious young consumers: implications for green commodity marketing","type":"article-journal","volume":"35"},"uris":["http://www.mendeley.com/documents/?uuid=aa5d846f-5c14-4228-a214-1e379b5a1d34"]},{"id":"ITEM-2","itemData":{"DOI":"10.1108/JCM-04-2017-2176","ISSN":"07363761","abstract":"Purpose: The purpose of this study is to examine the effects of corporate social responsibility (CSR) reputation, product price and organic label on consumers’ perceptions of quality, trust and purchase intentions of organic apparel products by surveying American young consumers. Design/methodology/approach: An intercept survey approach was used to administer a written questionnaire to a sample of college students. The experiment is a 2 (CSR reputation: poor vs good) × 2 (price: low vs high) × 2 (organic label: absent vs present) factorial design. Findings: The results of our study suggest that retailers’ CSR reputation had a significant positive effect on perceived quality, consumer trust and purchase intentions, and price had a negative impact on consumers’ purchase intentions. Results also revealed a significant three-way interaction among the three independent variables on perceived quality and consumer trust. Originality/value: This research is the first empirical effort to investigate the key factors that may influence young consumers’ perceptions of quality, trust and purchase intentions of organic products by considering joint use of CSR reputation, product price and an organic label, which represents a realistic buying condition. Consequently, the findings of this study represent an important step forward in better understanding consumers’ buying behavior toward green products.","author":[{"dropping-particle":"","family":"Tong","given":"Xiao","non-dropping-particle":"","parse-names":false,"suffix":""},{"dropping-particle":"","family":"Su","given":"Jin","non-dropping-particle":"","parse-names":false,"suffix":""}],"container-title":"Journal of Consumer Marketing","id":"ITEM-2","issue":"5","issued":{"date-parts":[["2018"]]},"page":"522-532","title":"Exploring young consumers’ trust and purchase intention of organic cotton apparel","type":"article-journal","volume":"35"},"uris":["http://www.mendeley.com/documents/?uuid=892716b8-7573-4ef1-9ba2-986efc58c6c2"]}],"mendeley":{"formattedCitation":"(Perera &amp; Hewege, 2018; Tong &amp; Su, 2018)","plainTextFormattedCitation":"(Perera &amp; Hewege, 2018; Tong &amp; Su, 2018)","previouslyFormattedCitation":"(Perera &amp; Hewege, 2018; Tong &amp; Su, 2018)"},"properties":{"noteIndex":0},"schema":"https://github.com/citation-style-language/schema/raw/master/csl-citation.json"}</w:instrText>
      </w:r>
      <w:r w:rsidR="00915A1B">
        <w:rPr>
          <w:szCs w:val="22"/>
        </w:rPr>
        <w:fldChar w:fldCharType="separate"/>
      </w:r>
      <w:r w:rsidR="00915A1B" w:rsidRPr="00915A1B">
        <w:rPr>
          <w:noProof/>
          <w:szCs w:val="22"/>
        </w:rPr>
        <w:t>(Perera &amp; Hewege, 2018; Tong &amp; Su, 2018)</w:t>
      </w:r>
      <w:r w:rsidR="00915A1B">
        <w:rPr>
          <w:szCs w:val="22"/>
        </w:rPr>
        <w:fldChar w:fldCharType="end"/>
      </w:r>
      <w:r w:rsidR="00915A1B">
        <w:rPr>
          <w:szCs w:val="22"/>
        </w:rPr>
        <w:t xml:space="preserve"> </w:t>
      </w:r>
      <w:r w:rsidR="00992158" w:rsidRPr="00992158">
        <w:rPr>
          <w:szCs w:val="22"/>
        </w:rPr>
        <w:t xml:space="preserve">. Secara global, inisiatif disusun oleh organisasi internasional seperti PBB melalui Sustainable Development Goals (UNSDG), yang menjabarkan 17 tujuan seperti: sebagai aksi iklim, konsumsi dan produksi yang bertanggung jawab, </w:t>
      </w:r>
      <w:proofErr w:type="gramStart"/>
      <w:r w:rsidR="00992158" w:rsidRPr="00992158">
        <w:rPr>
          <w:szCs w:val="22"/>
        </w:rPr>
        <w:t>kota</w:t>
      </w:r>
      <w:proofErr w:type="gramEnd"/>
      <w:r w:rsidR="00992158" w:rsidRPr="00992158">
        <w:rPr>
          <w:szCs w:val="22"/>
        </w:rPr>
        <w:t xml:space="preserve"> dan komunitas yang berkelanjutan, dan terjangkau, bersih energi, antara lain (UNSDG, 2021). untuk mengeksplorasi interaksi antara meso dan aktor mikro yang kurang mendapat perhatian dalam penelitian keberlanjutan </w:t>
      </w:r>
      <w:r w:rsidR="00915A1B">
        <w:rPr>
          <w:szCs w:val="22"/>
        </w:rPr>
        <w:t xml:space="preserve"> </w:t>
      </w:r>
      <w:r w:rsidR="00915A1B">
        <w:rPr>
          <w:szCs w:val="22"/>
        </w:rPr>
        <w:fldChar w:fldCharType="begin" w:fldLock="1"/>
      </w:r>
      <w:r w:rsidR="0032214B">
        <w:rPr>
          <w:szCs w:val="22"/>
        </w:rPr>
        <w:instrText>ADDIN CSL_CITATION {"citationItems":[{"id":"ITEM-1","itemData":{"DOI":"10.1509/jppm.16.215","ISSN":"15477207","abstract":"Recently issued United Nations Sustainable Development Goals call for people to make extensive behavioral changes, including consuming food more sustainably. The authors explore the role that meso-level retailers play in local purchasing, an activity that the United Nations recognizes as a contributor to sustainability. In so doing, the authors promote more balance within the marketing literature, which has focused more on the environmental component of products and purchasing and less on the local dimension. This article spotlights “soft” policies, those that use persuasion and encourage voluntary action, rather than direct methods, such as subsidies and regulations. The authors develop a core hypothesis about how social norm messages and attitudes toward local food affect consumer purchase intentions. They test this hypothesis across national contexts via online surveys of 316 Italian consumers (Study 1) and 186 U.S. consumers (Study 2). The analysis reveals that in both countries, the effectiveness of social norm messages increases with unfavorable attitudes toward local buying. The study concludes with thoughts for researchers and policy makers about how meso-level actors, such as retailers, can elicit more local purchasing.","author":[{"dropping-particle":"","family":"Testa","given":"Francesco","non-dropping-particle":"","parse-names":false,"suffix":""},{"dropping-particle":"V.","family":"Russo","given":"Michael","non-dropping-particle":"","parse-names":false,"suffix":""},{"dropping-particle":"","family":"Cornwell","given":"T. Bettina","non-dropping-particle":"","parse-names":false,"suffix":""},{"dropping-particle":"","family":"McDonald","given":"Aaron","non-dropping-particle":"","parse-names":false,"suffix":""},{"dropping-particle":"","family":"Reich","given":"Brandon","non-dropping-particle":"","parse-names":false,"suffix":""}],"container-title":"Journal of Public Policy and Marketing","id":"ITEM-1","issue":"1","issued":{"date-parts":[["2018"]]},"page":"152-166","title":"Social sustainability as buying local: Effects of soft policy, meso-level actors, and social influences on purchase intentions","type":"article-journal","volume":"37"},"uris":["http://www.mendeley.com/documents/?uuid=41d4015f-4171-4a29-8cf2-e2734b4eede8"]},{"id":"ITEM-2","itemData":{"DOI":"10.1093/jopart/muaa021","ISSN":"14779803","abstract":"A normative assumption of government reform efforts such as New Public Management is that fostering a more innovative, proactive, and risk-taking organizational culture - developing what has been described as an \"entrepreneurial orientation\"(EO) - improves performance. But in arenas like urban sustainability, performance can be an ambiguous, multifaceted concept. Managers' assessments of their own nimbleness, innovative thinking, and risk culture are also likely to influence how they interpret the risk-reward balance of opportunities to enhance organizational performance. This study examines how meso-level organizational decisions impact managers' individual risk-assessments of sustainability initiatives. We do so through a combination of Bayesian structural equation modeling of US local government survey data collected over two time periods, and an artifactual survey experiment with empaneled local government employees. This multimethod design allows us to examine the role of organizational performance and EO - meso-level learning heuristics - in shaping the micro-foundations of managerial risk assessment. The organization-level observational results indicate that local governments engage in risk-seeking behavior in order to minimize their potential for losses of prior effort. Experimental results confirm local government administrators are loss-averse when asked to evaluate the merits of initiating a hypothetical sustainability program.","author":[{"dropping-particle":"","family":"Deslatte","given":"Aaron","non-dropping-particle":"","parse-names":false,"suffix":""},{"dropping-particle":"","family":"Swann","given":"William L.","non-dropping-particle":"","parse-names":false,"suffix":""},{"dropping-particle":"","family":"Feiock","given":"Richard C.","non-dropping-particle":"","parse-names":false,"suffix":""}],"container-title":"Journal of Public Administration Research and Theory","id":"ITEM-2","issue":"1","issued":{"date-parts":[["2021"]]},"page":"201-217","title":"Performance, Satisfaction, or Loss Aversion? A Meso-Micro Assessment of Local Commitments to Sustainability Programs","type":"article-journal","volume":"31"},"uris":["http://www.mendeley.com/documents/?uuid=ec205f9e-90f1-478a-a276-b89abd6e1c2f"]}],"mendeley":{"formattedCitation":"(Deslatte et al., 2021; Testa et al., 2018)","plainTextFormattedCitation":"(Deslatte et al., 2021; Testa et al., 2018)","previouslyFormattedCitation":"(Deslatte et al., 2021; Testa et al., 2018)"},"properties":{"noteIndex":0},"schema":"https://github.com/citation-style-language/schema/raw/master/csl-citation.json"}</w:instrText>
      </w:r>
      <w:r w:rsidR="00915A1B">
        <w:rPr>
          <w:szCs w:val="22"/>
        </w:rPr>
        <w:fldChar w:fldCharType="separate"/>
      </w:r>
      <w:r w:rsidR="00915A1B" w:rsidRPr="00915A1B">
        <w:rPr>
          <w:noProof/>
          <w:szCs w:val="22"/>
        </w:rPr>
        <w:t xml:space="preserve">(Deslatte </w:t>
      </w:r>
      <w:r w:rsidR="00915A1B" w:rsidRPr="00915A1B">
        <w:rPr>
          <w:i/>
          <w:noProof/>
          <w:szCs w:val="22"/>
        </w:rPr>
        <w:t>et al.</w:t>
      </w:r>
      <w:r w:rsidR="00915A1B" w:rsidRPr="00915A1B">
        <w:rPr>
          <w:noProof/>
          <w:szCs w:val="22"/>
        </w:rPr>
        <w:t xml:space="preserve">, 2021; Testa </w:t>
      </w:r>
      <w:r w:rsidR="00915A1B" w:rsidRPr="00915A1B">
        <w:rPr>
          <w:i/>
          <w:noProof/>
          <w:szCs w:val="22"/>
        </w:rPr>
        <w:t>et al.</w:t>
      </w:r>
      <w:r w:rsidR="00915A1B" w:rsidRPr="00915A1B">
        <w:rPr>
          <w:noProof/>
          <w:szCs w:val="22"/>
        </w:rPr>
        <w:t>, 2018)</w:t>
      </w:r>
      <w:r w:rsidR="00915A1B">
        <w:rPr>
          <w:szCs w:val="22"/>
        </w:rPr>
        <w:fldChar w:fldCharType="end"/>
      </w:r>
      <w:r w:rsidR="00915A1B">
        <w:rPr>
          <w:szCs w:val="22"/>
        </w:rPr>
        <w:t xml:space="preserve"> menanggapi</w:t>
      </w:r>
      <w:r w:rsidR="00992158" w:rsidRPr="00992158">
        <w:rPr>
          <w:szCs w:val="22"/>
        </w:rPr>
        <w:t xml:space="preserve"> panggilan untuk penelitian meso-mikro, penelitian ini bertujuan untuk mengeksplorasi dampak inisiatif berkelanjutan yang ramah lingkungan universitas dalam mempengaruhi keyakinan, norma dan kompetensi dalam konsumen muda. </w:t>
      </w:r>
      <w:proofErr w:type="gramStart"/>
      <w:r w:rsidR="00992158" w:rsidRPr="00992158">
        <w:rPr>
          <w:szCs w:val="22"/>
        </w:rPr>
        <w:t>Institusi khusus ini menarik dan konteks yang relevan untuk memeriksa perilaku berkelanjutan seperti yang berjanji kepada UNSDG sebagai cetak biru untuk mendorong keberlanjutan konsumsi melalui program dan kampanye seperti daur ulang, konservasi energi dan air dan transportasi kebijakan.</w:t>
      </w:r>
      <w:proofErr w:type="gramEnd"/>
      <w:r w:rsidR="00992158" w:rsidRPr="00992158">
        <w:rPr>
          <w:szCs w:val="22"/>
        </w:rPr>
        <w:t xml:space="preserve"> </w:t>
      </w:r>
      <w:proofErr w:type="gramStart"/>
      <w:r w:rsidR="00992158" w:rsidRPr="00992158">
        <w:rPr>
          <w:szCs w:val="22"/>
        </w:rPr>
        <w:t>Bertentangan dengan harapan kami, H3, yang menghipotesiskan mediasi AR pada hubungan antara CA dan proenvironmental perilaku, adalah satu-satunya jalan yang tidak didukung.</w:t>
      </w:r>
      <w:proofErr w:type="gramEnd"/>
      <w:r w:rsidR="00992158" w:rsidRPr="00992158">
        <w:rPr>
          <w:szCs w:val="22"/>
        </w:rPr>
        <w:t xml:space="preserve"> Kebaruan dalam penelitian ini adalah menganalisis pengaruh AR terhadap CA, karena terdapat perbedaan pendapat </w:t>
      </w:r>
      <w:r w:rsidR="0032214B">
        <w:rPr>
          <w:szCs w:val="22"/>
        </w:rPr>
        <w:fldChar w:fldCharType="begin" w:fldLock="1"/>
      </w:r>
      <w:r w:rsidR="0032214B">
        <w:rPr>
          <w:szCs w:val="22"/>
        </w:rPr>
        <w:instrText>ADDIN CSL_CITATION {"citationItems":[{"id":"ITEM-1","itemData":{"DOI":"10.1177/0022242919825649","ISSN":"15477185","abstract":"Highlighting the important role of marketing in encouraging sustainable consumption, the current research presents a review of the academic literature from marketing and behavioral science that examines the most effective ways to shift consumer behaviors to be more sustainable. In the process of the review, the authors develop a comprehensive framework for conceptualizing and encouraging sustainable consumer behavior change. The framework is represented by the acronym SHIFT, and it proposes that consumers are more inclined to engage in pro-environmental behaviors when the message or context leverages the following psychological factors: Social influence, Habit formation, Individual self, Feelings and cognition, and Tangibility. The authors also identify five broad challenges to encouraging sustainable behaviors and use these to develop novel theoretical propositions and directions for future research. Finally, the authors outline how practitioners aiming to encourage sustainable consumer behaviors can use this framework.","author":[{"dropping-particle":"","family":"White","given":"Katherine","non-dropping-particle":"","parse-names":false,"suffix":""},{"dropping-particle":"","family":"Habib","given":"Rishad","non-dropping-particle":"","parse-names":false,"suffix":""},{"dropping-particle":"","family":"Hardisty","given":"David J.","non-dropping-particle":"","parse-names":false,"suffix":""}],"container-title":"Journal of Marketing","id":"ITEM-1","issue":"3","issued":{"date-parts":[["2019"]]},"page":"22-49","title":"How to SHIFT consumer behaviors to be more sustainable: A literature review and guiding framework","type":"article-journal","volume":"83"},"uris":["http://www.mendeley.com/documents/?uuid=ed1aec2e-b695-485b-a7cc-de17b60e3fe0"]}],"mendeley":{"formattedCitation":"(White et al., 2019)","plainTextFormattedCitation":"(White et al., 2019)","previouslyFormattedCitation":"(White et al., 2019)"},"properties":{"noteIndex":0},"schema":"https://github.com/citation-style-language/schema/raw/master/csl-citation.json"}</w:instrText>
      </w:r>
      <w:r w:rsidR="0032214B">
        <w:rPr>
          <w:szCs w:val="22"/>
        </w:rPr>
        <w:fldChar w:fldCharType="separate"/>
      </w:r>
      <w:r w:rsidR="0032214B" w:rsidRPr="0032214B">
        <w:rPr>
          <w:noProof/>
          <w:szCs w:val="22"/>
        </w:rPr>
        <w:t xml:space="preserve">(White </w:t>
      </w:r>
      <w:r w:rsidR="0032214B" w:rsidRPr="0032214B">
        <w:rPr>
          <w:i/>
          <w:noProof/>
          <w:szCs w:val="22"/>
        </w:rPr>
        <w:t>et al</w:t>
      </w:r>
      <w:r w:rsidR="0032214B" w:rsidRPr="0032214B">
        <w:rPr>
          <w:noProof/>
          <w:szCs w:val="22"/>
        </w:rPr>
        <w:t>., 2019)</w:t>
      </w:r>
      <w:r w:rsidR="0032214B">
        <w:rPr>
          <w:szCs w:val="22"/>
        </w:rPr>
        <w:fldChar w:fldCharType="end"/>
      </w:r>
    </w:p>
    <w:p w:rsidR="00C84C39" w:rsidRDefault="00C84C39" w:rsidP="00415827">
      <w:pPr>
        <w:pStyle w:val="BodyText"/>
        <w:tabs>
          <w:tab w:val="left" w:pos="883"/>
          <w:tab w:val="left" w:pos="1072"/>
          <w:tab w:val="left" w:pos="1492"/>
          <w:tab w:val="left" w:pos="1559"/>
          <w:tab w:val="left" w:pos="2308"/>
          <w:tab w:val="left" w:pos="2379"/>
          <w:tab w:val="left" w:pos="2484"/>
          <w:tab w:val="left" w:pos="3358"/>
        </w:tabs>
        <w:ind w:right="38"/>
        <w:jc w:val="both"/>
      </w:pPr>
    </w:p>
    <w:p w:rsidR="00E15768" w:rsidRDefault="00E15768" w:rsidP="00E15768">
      <w:pPr>
        <w:ind w:firstLine="720"/>
      </w:pPr>
      <w:r w:rsidRPr="00E15768">
        <w:t>Menurut</w:t>
      </w:r>
      <w:r>
        <w:t xml:space="preserve"> </w:t>
      </w:r>
      <w:r>
        <w:fldChar w:fldCharType="begin" w:fldLock="1"/>
      </w:r>
      <w:r>
        <w:instrText>ADDIN CSL_CITATION {"citationItems":[{"id":"ITEM-1","itemData":{"abstract":"Here we provide, within a social-cognitive framework, a critical review of research on the motivational impact of different psychological climates in physical activity. Motivational, cognitive, affective and behavioural outcomes are considered in sport, school physical education and exercise. We first review laboratory and field studies that tried to manipulate the perceived structures of motivational environments and to examine the subsequent outcomes on participants' cognitive and affective responses. Then we discuss studies influenced by the work of Ames in classroom settings and involving questionnaires to measure individuals' perceptions of 'motivational climates'. The impact of mastery and performance climates on various indices of motivation is narratively reviewed, and statistically estimated effect sizes from 14 studies (n = 4484) are presented as supporting evidence. We conclude that a mastery motivational climate is associated with more adaptive motivational patterns, while a performance climate is linked with less adaptive or maladaptive motivational and affective responses. Future research should determine the personal and situational variables that can moderate the impact of such relationships. Furthermore, a broader perspective is proposed, to understand the creation of perceived motivational climates, which is based on the integration of political, cultural, coaching and parental influences.","container-title":"Asian Journal of Social Psychology","id":"ITEM-1","issued":{"date-parts":[["1999"]]},"page":"21-41","title":"Social cognitive theory : An agentic Albert Bandura","type":"article-journal"},"uris":["http://www.mendeley.com/documents/?uuid=fd695cd3-93d4-4462-ba28-d833993af54f"]}],"mendeley":{"formattedCitation":"(“Social Cognitive Theory : An Agentic Albert Bandura,” 1999)","manualFormatting":"“Social Cognitive Theory : An Agentic Albert Bandura,” (1999)","plainTextFormattedCitation":"(“Social Cognitive Theory : An Agentic Albert Bandura,” 1999)","previouslyFormattedCitation":"(“Social Cognitive Theory : An Agentic Albert Bandura,” 1999)"},"properties":{"noteIndex":0},"schema":"https://github.com/citation-style-language/schema/raw/master/csl-citation.json"}</w:instrText>
      </w:r>
      <w:r>
        <w:fldChar w:fldCharType="separate"/>
      </w:r>
      <w:r w:rsidRPr="00E15768">
        <w:rPr>
          <w:noProof/>
        </w:rPr>
        <w:t xml:space="preserve">“Social Cognitive Theory : An Agentic Albert Bandura,” </w:t>
      </w:r>
      <w:r>
        <w:rPr>
          <w:noProof/>
        </w:rPr>
        <w:t>(</w:t>
      </w:r>
      <w:r w:rsidRPr="00E15768">
        <w:rPr>
          <w:noProof/>
        </w:rPr>
        <w:t>1999)</w:t>
      </w:r>
      <w:r>
        <w:fldChar w:fldCharType="end"/>
      </w:r>
      <w:r w:rsidRPr="00E15768">
        <w:t xml:space="preserve">, media massa </w:t>
      </w:r>
      <w:r>
        <w:t>merupakan</w:t>
      </w:r>
      <w:r w:rsidRPr="00E15768">
        <w:t xml:space="preserve"> alat komunikasi yang ampuh yang mempromosikan penyebaran sosial dengan menumbuhkan suasana yang mendukung perubahan sikap. Pesan hijau harus disampaikan secara efektif ketika dibagikan melalui berbagai media agar </w:t>
      </w:r>
      <w:r>
        <w:t xml:space="preserve">adopsi perilaku hijau berhasil </w:t>
      </w:r>
      <w:r>
        <w:fldChar w:fldCharType="begin" w:fldLock="1"/>
      </w:r>
      <w:r>
        <w:instrText>ADDIN CSL_CITATION {"citationItems":[{"id":"ITEM-1","itemData":{"DOI":"10.1108/BFJ-08-2019-0652","ISSN":"0007070X","abstract":"Purpose: The purpose of this paper is to investigate the effects of rational green packaging claims vs emotional green packaging claims on consumers’ purchase propensity for organic coffee. Design/methodology/approach: Three within-subjects experiment were carried out (N=87, N=245, N=60). The experimental design encompasses packaging with rational green claims, emotional green claims, as well as a neutral (control) claim. Measured variables are introduced to assess participants’ environmental commitment and information processing ability. A manipulated between-subjects variable is introduced to test how distraction interacts with preference for the claims. Findings: Overall, consumers prefer products with green claims over those with neutral (control) claims, and products with emotional green claims to those with rational green claims. The studies also reveal that this effect is moderated by participants’ environmental commitment, information processing ability and by distraction. The findings were statistically significant (p&lt;0.05). Research limitations/implications: As a lab experiment, the study provides limited generalizability and external validity. Practical implications: For most organic FMCG products, it is advisable to employ emotional packaging claims. Social implications: The presented findings provide marketers with tools to influence consumer behavior toward sustainable choices. Originality/value: The paper validates previous contributions on the effects of product claim types, and extends them by introducing comprehensive empirical data on all the Elaboration Likelihood Model’s criteria for rational decision-making; motivation, opportunity and ability.","author":[{"dropping-particle":"","family":"Aagerup","given":"Ulf","non-dropping-particle":"","parse-names":false,"suffix":""},{"dropping-particle":"","family":"Frank","given":"Anna Sofia","non-dropping-particle":"","parse-names":false,"suffix":""},{"dropping-particle":"","family":"Hultqvist","given":"Evelina","non-dropping-particle":"","parse-names":false,"suffix":""}],"container-title":"British Food Journal","id":"ITEM-1","issue":"12","issued":{"date-parts":[["2019"]]},"page":"3233-3246","title":"The persuasive effects of emotional green packaging claims","type":"article-journal","volume":"121"},"uris":["http://www.mendeley.com/documents/?uuid=528371b9-7f96-42e5-8568-639485e60e75"]}],"mendeley":{"formattedCitation":"(Aagerup et al., 2019)","plainTextFormattedCitation":"(Aagerup et al., 2019)","previouslyFormattedCitation":"(Aagerup et al., 2019)"},"properties":{"noteIndex":0},"schema":"https://github.com/citation-style-language/schema/raw/master/csl-citation.json"}</w:instrText>
      </w:r>
      <w:r>
        <w:fldChar w:fldCharType="separate"/>
      </w:r>
      <w:r w:rsidRPr="00E15768">
        <w:rPr>
          <w:noProof/>
        </w:rPr>
        <w:t xml:space="preserve">(Aagerup </w:t>
      </w:r>
      <w:r w:rsidRPr="00E15768">
        <w:rPr>
          <w:i/>
          <w:noProof/>
        </w:rPr>
        <w:t>et al</w:t>
      </w:r>
      <w:r w:rsidRPr="00E15768">
        <w:rPr>
          <w:noProof/>
        </w:rPr>
        <w:t>., 2019)</w:t>
      </w:r>
      <w:r>
        <w:fldChar w:fldCharType="end"/>
      </w:r>
      <w:r w:rsidRPr="00E15768">
        <w:t xml:space="preserve">. Selain itu, telah dibuktikan bahwa </w:t>
      </w:r>
      <w:r w:rsidRPr="00E15768">
        <w:rPr>
          <w:i/>
        </w:rPr>
        <w:t>green advertising</w:t>
      </w:r>
      <w:r w:rsidRPr="00E15768">
        <w:t xml:space="preserve"> memiliki pengaruh yang menguntungkan pada perilaku hijau</w:t>
      </w:r>
      <w:r>
        <w:t xml:space="preserve"> </w:t>
      </w:r>
      <w:r>
        <w:fldChar w:fldCharType="begin" w:fldLock="1"/>
      </w:r>
      <w:r>
        <w:instrText>ADDIN CSL_CITATION {"citationItems":[{"id":"ITEM-1","itemData":{"DOI":"10.5267/j.msl.2020.2.017","ISSN":"19239343","abstract":"Nowadays, customer awareness on environment friendly products is getting improved and there is an increase trend on green marketing strategy. The carried-out strategy has an objective of improving the customer care and purchasing intention on environment friendly products. Reviewing the issue of customer behavior, this study aims to review the correlation among green advertising, green brand image and customer green awareness on environment friendly products and their impacts to purchase intention. The study was conducted through a survey among 102 customers of Supermarket in Bandung City who have experience on friendly products. Data from the customers were obtained through a questionnaire, tabulated and processed by path analysis using SmartPLS. In order to emphasize research result, the research hypothesis test was conducted. Research finding explains that green advertising was assessed to be important by the customer and it can improve the customers' green awareness. On the other hand, it is stated that there was an impact of green awareness on improving customer purchasing intention on the environmentally friendly product. This study is useful for the supermarket in Indonesia particularly in understanding customer behavior to the environmentally friendly product. So, the implementation of the marketing strategy is more precise. Besides, this study can be an input for the Indonesian Government in implementing a regulation associated with the global warming issue through research on environmental friendly product.","author":[{"dropping-particle":"","family":"Alamsyah","given":"Doni Purnama","non-dropping-particle":"","parse-names":false,"suffix":""},{"dropping-particle":"","family":"Othman","given":"Norfaridatul Akmaliah","non-dropping-particle":"","parse-names":false,"suffix":""},{"dropping-particle":"","family":"Mohammed","given":"Hayder Alhadey Ahmed","non-dropping-particle":"","parse-names":false,"suffix":""}],"container-title":"Management Science Letters","id":"ITEM-1","issue":"9","issued":{"date-parts":[["2020"]]},"page":"1961-1968","title":"The awareness of environmentally friendly products: The impact of green advertising and green brand image","type":"article-journal","volume":"10"},"uris":["http://www.mendeley.com/documents/?uuid=a37ecbbc-a307-4a7d-bef1-adf6f3354d47"]},{"id":"ITEM-2","itemData":{"DOI":"10.1080/23311975.2021.1920559","ISSN":"23311975","abstract":"This study has extended Motivation-Ability-Opportunity- Model and has developed a framework with seven variables (i.e., green brand, green satisfaction, green advertising, green buying behavior, and spirituality ethics. The study has taken a holistic approach by testing 15 relationships for understanding green marketing. The authors distributed 415 questionnaires to the students of selected universities of Karachi and received 395 filled-in questionnaires. The study’s results support all the proposed hypotheses, and they are in line with earlier studies on green marketing (GM). The study found that green advertising (GA) is an essential aspect of green marketing (GM). Besides its direct effects on green-related elements (H1 to H7), it (green satisfaction) has significant mediating roles on ethics (ET) and green buying behavior (GBB) (H8); spiritually (SP) and green buying behavior (GBB) (H9); ethics, and green satisfaction (H10); Spirituality and green satisfaction (H11). We also found that green buying behavior mediates green advertising (GA) and green satisfaction (GS) (H12). Green buying behavior (GBB) also mediates green brand (GB) and green satisfaction (GS) (H13). The study’s variable’s interrelationships can be judged from the results that our results also support both multi mediating effects. The current study found that the multi-mediating impact of green advertising and green buying on ethics and green satisfaction (H14) and spirituality and green satisfaction (H15) is also significant. The theoretical and practical implications are based on empirical results.","author":[{"dropping-particle":"","family":"Jalees","given":"Tariq","non-dropping-particle":"","parse-names":false,"suffix":""},{"dropping-particle":"","family":"Qabool","given":"Sahar","non-dropping-particle":"","parse-names":false,"suffix":""},{"dropping-particle":"","family":"Zaman","given":"Syed Imran","non-dropping-particle":"","parse-names":false,"suffix":""},{"dropping-particle":"","family":"Alam Kazmi","given":"Syed Hasnain","non-dropping-particle":"","parse-names":false,"suffix":""}],"container-title":"Cogent Business and Management","id":"ITEM-2","issue":"1","issued":{"date-parts":[["2021"]]},"publisher":"Cogent","title":"Effect of spirituality and ethics on green advertising, and the multi- mediating roles of green buying and green satisfaction","type":"article-journal","volume":"8"},"uris":["http://www.mendeley.com/documents/?uuid=4b6d48c2-796e-46f6-b4aa-60655452f600"]}],"mendeley":{"formattedCitation":"(Alamsyah et al., 2020; Jalees et al., 2021)","plainTextFormattedCitation":"(Alamsyah et al., 2020; Jalees et al., 2021)","previouslyFormattedCitation":"(Alamsyah et al., 2020; Jalees et al., 2021)"},"properties":{"noteIndex":0},"schema":"https://github.com/citation-style-language/schema/raw/master/csl-citation.json"}</w:instrText>
      </w:r>
      <w:r>
        <w:fldChar w:fldCharType="separate"/>
      </w:r>
      <w:r w:rsidRPr="00E15768">
        <w:rPr>
          <w:noProof/>
        </w:rPr>
        <w:t xml:space="preserve">(Alamsyah </w:t>
      </w:r>
      <w:r w:rsidRPr="00E15768">
        <w:rPr>
          <w:i/>
          <w:noProof/>
        </w:rPr>
        <w:t>et al</w:t>
      </w:r>
      <w:r w:rsidRPr="00E15768">
        <w:rPr>
          <w:noProof/>
        </w:rPr>
        <w:t xml:space="preserve">., 2020; Jalees </w:t>
      </w:r>
      <w:r w:rsidRPr="00E15768">
        <w:rPr>
          <w:i/>
          <w:noProof/>
        </w:rPr>
        <w:t>et al</w:t>
      </w:r>
      <w:r w:rsidRPr="00E15768">
        <w:rPr>
          <w:noProof/>
        </w:rPr>
        <w:t>., 2021)</w:t>
      </w:r>
      <w:r>
        <w:fldChar w:fldCharType="end"/>
      </w:r>
      <w:r w:rsidRPr="00E15768">
        <w:t xml:space="preserve">. Gaya hidup hijau dipromosikan di institusi ramah lingkungan melalui kampanye dan pemasaran media. </w:t>
      </w:r>
      <w:r w:rsidRPr="00FC4C45">
        <w:t xml:space="preserve">Berdasarkan pembahasan tersebut maka dapat dirumuskan hipotesis sebagai berikut: </w:t>
      </w:r>
    </w:p>
    <w:p w:rsidR="00E15768" w:rsidRDefault="00E15768" w:rsidP="00E15768">
      <w:pPr>
        <w:ind w:firstLine="720"/>
      </w:pPr>
    </w:p>
    <w:p w:rsidR="00E15768" w:rsidRPr="001A6C16" w:rsidRDefault="00E15768" w:rsidP="00E15768">
      <w:pPr>
        <w:rPr>
          <w:b/>
          <w:bCs/>
        </w:rPr>
      </w:pPr>
      <w:r w:rsidRPr="001A6C16">
        <w:rPr>
          <w:b/>
          <w:bCs/>
        </w:rPr>
        <w:t xml:space="preserve">H1: </w:t>
      </w:r>
      <w:r w:rsidRPr="00A37F71">
        <w:rPr>
          <w:b/>
          <w:bCs/>
          <w:i/>
        </w:rPr>
        <w:t>Campus advertisement</w:t>
      </w:r>
      <w:r w:rsidRPr="001A6C16">
        <w:rPr>
          <w:b/>
          <w:bCs/>
        </w:rPr>
        <w:t xml:space="preserve"> memiliki efek positif pada</w:t>
      </w:r>
      <w:r>
        <w:rPr>
          <w:b/>
          <w:bCs/>
        </w:rPr>
        <w:t xml:space="preserve"> </w:t>
      </w:r>
      <w:r w:rsidRPr="00A37F71">
        <w:rPr>
          <w:b/>
          <w:bCs/>
          <w:i/>
        </w:rPr>
        <w:t>Pro env- intension</w:t>
      </w:r>
    </w:p>
    <w:p w:rsidR="00E15768" w:rsidRPr="00FC4C45" w:rsidRDefault="00E15768" w:rsidP="00E15768">
      <w:pPr>
        <w:ind w:firstLine="720"/>
      </w:pPr>
    </w:p>
    <w:p w:rsidR="00E15768" w:rsidRPr="00FC4C45" w:rsidRDefault="00E15768" w:rsidP="00415827">
      <w:pPr>
        <w:pStyle w:val="BodyText"/>
        <w:tabs>
          <w:tab w:val="left" w:pos="883"/>
          <w:tab w:val="left" w:pos="1072"/>
          <w:tab w:val="left" w:pos="1492"/>
          <w:tab w:val="left" w:pos="1559"/>
          <w:tab w:val="left" w:pos="2308"/>
          <w:tab w:val="left" w:pos="2379"/>
          <w:tab w:val="left" w:pos="2484"/>
          <w:tab w:val="left" w:pos="3358"/>
        </w:tabs>
        <w:ind w:right="38"/>
        <w:jc w:val="both"/>
      </w:pPr>
    </w:p>
    <w:p w:rsidR="00C84C39" w:rsidRPr="00FC4C45" w:rsidRDefault="00C84C39" w:rsidP="00C84C39">
      <w:pPr>
        <w:ind w:firstLine="720"/>
      </w:pPr>
    </w:p>
    <w:p w:rsidR="00E15768" w:rsidRPr="001A6C16" w:rsidRDefault="00E15768" w:rsidP="0032214B">
      <w:pPr>
        <w:ind w:firstLine="720"/>
      </w:pPr>
      <w:r>
        <w:t xml:space="preserve">Menurut </w:t>
      </w:r>
      <w:r w:rsidRPr="001A6C16">
        <w:t xml:space="preserve"> </w:t>
      </w:r>
      <w:r>
        <w:fldChar w:fldCharType="begin" w:fldLock="1"/>
      </w:r>
      <w:r>
        <w:instrText>ADDIN CSL_CITATION {"citationItems":[{"id":"ITEM-1","itemData":{"ISBN":"13672223","abstract":"The capacity to exercise control over the nature and quality of one's life is the essence of humanness. Human agency is characterized by a number of core features that operate through phenomenal and functional consciousness. These include the temporal extension of agency through intentionality and forethought, self-regulation by self-reactive influence, and self-reflectiveness about one's capabilities, quality of functioning, and the meaning and purpose of one's life pursuits. Personal agency operates within a broad network of sociostructural influences. In these agentic transactions, people are producers as well as products of social systems. Social cognitive theory distinguishes among three modes of agency: direct personal agency, proxy agency that relies on others to act on one's behest to secure desired outcomes, and collective agency exercised through socially coordinative and interdependent effort. Growing transnational embeddedness and interdependence are placing a premium on collective efficacy to exercise control over personal destinies and national life.","author":[{"dropping-particle":"","family":"Bandura,Albert","given":"","non-dropping-particle":"","parse-names":false,"suffix":""}],"container-title":"Asian Journal of Social Psychology","id":"ITEM-1","issue":"1","issued":{"date-parts":[["1999"]]},"page":"1-26","title":"Social Cognitive Theory: An Agentic Perspective.","type":"article-journal","volume":"2"},"uris":["http://www.mendeley.com/documents/?uuid=7addbe0e-2ee4-4d4f-9dcf-c0b3fb778b72"]}],"mendeley":{"formattedCitation":"(Bandura,Albert, 1999)","manualFormatting":"Bandura,Albert, (1999)","plainTextFormattedCitation":"(Bandura,Albert, 1999)","previouslyFormattedCitation":"(Bandura,Albert, 1999)"},"properties":{"noteIndex":0},"schema":"https://github.com/citation-style-language/schema/raw/master/csl-citation.json"}</w:instrText>
      </w:r>
      <w:r>
        <w:fldChar w:fldCharType="separate"/>
      </w:r>
      <w:r w:rsidRPr="00E15768">
        <w:rPr>
          <w:noProof/>
        </w:rPr>
        <w:t xml:space="preserve">Bandura,Albert, </w:t>
      </w:r>
      <w:r>
        <w:rPr>
          <w:noProof/>
        </w:rPr>
        <w:t>(</w:t>
      </w:r>
      <w:r w:rsidRPr="00E15768">
        <w:rPr>
          <w:noProof/>
        </w:rPr>
        <w:t>1999)</w:t>
      </w:r>
      <w:r>
        <w:fldChar w:fldCharType="end"/>
      </w:r>
      <w:r>
        <w:t xml:space="preserve"> </w:t>
      </w:r>
      <w:r w:rsidRPr="001A6C16">
        <w:t xml:space="preserve">konsep </w:t>
      </w:r>
      <w:r w:rsidRPr="00E15768">
        <w:rPr>
          <w:i/>
        </w:rPr>
        <w:t>self-efficacy</w:t>
      </w:r>
      <w:r w:rsidRPr="001A6C16">
        <w:t xml:space="preserve"> dengan konteks lingkungan, </w:t>
      </w:r>
      <w:r w:rsidRPr="00E15768">
        <w:rPr>
          <w:i/>
        </w:rPr>
        <w:t>self-efficacy</w:t>
      </w:r>
      <w:r w:rsidRPr="001A6C16">
        <w:t xml:space="preserve"> mengacu pada keyakinan individu pada kemampuan mereka untuk mempraktikkan perilaku hijau.</w:t>
      </w:r>
      <w:r>
        <w:t xml:space="preserve"> </w:t>
      </w:r>
      <w:r>
        <w:fldChar w:fldCharType="begin" w:fldLock="1"/>
      </w:r>
      <w:r>
        <w:instrText>ADDIN CSL_CITATION {"citationItems":[{"id":"ITEM-1","itemData":{"DOI":"10.1002/bse.1820","ISSN":"10990836","abstract":"Green consumer behavior can induce industries to develop green production methods and convert wasteful patterns of consumption into green consumption patterns. This study demonstrates that the practice of green consumption relies on the self-sanction concept in individuals. The objective of this study was to develop a research model of green consumer behavior based on social cognitive theory. The results show that personal self-concepts (the most significant of which is green consumption self-efficacy), personal outcome expectation and social sanction all have a significant influence. On the other hand, the influences of the expected outcome of green consumer behavior, climate change and the mass media were not significant.","author":[{"dropping-particle":"","family":"Lin","given":"Hsiu Yi","non-dropping-particle":"","parse-names":false,"suffix":""},{"dropping-particle":"","family":"Hsu","given":"Meng Hsiang","non-dropping-particle":"","parse-names":false,"suffix":""}],"container-title":"Business Strategy and the Environment","id":"ITEM-1","issue":"5","issued":{"date-parts":[["2015"]]},"page":"326-343","title":"Using Social Cognitive Theory to Investigate Green Consumer Behavior","type":"article-journal","volume":"24"},"uris":["http://www.mendeley.com/documents/?uuid=a7473a48-e1f8-4acb-b7cd-db84e452d63f"]}],"mendeley":{"formattedCitation":"(Lin &amp; Hsu, 2015)","manualFormatting":"Lin dan Hsu, (2015)","plainTextFormattedCitation":"(Lin &amp; Hsu, 2015)","previouslyFormattedCitation":"(Lin &amp; Hsu, 2015)"},"properties":{"noteIndex":0},"schema":"https://github.com/citation-style-language/schema/raw/master/csl-citation.json"}</w:instrText>
      </w:r>
      <w:r>
        <w:fldChar w:fldCharType="separate"/>
      </w:r>
      <w:r>
        <w:rPr>
          <w:noProof/>
        </w:rPr>
        <w:t>Lin dan</w:t>
      </w:r>
      <w:r w:rsidRPr="00E15768">
        <w:rPr>
          <w:noProof/>
        </w:rPr>
        <w:t xml:space="preserve"> Hsu, </w:t>
      </w:r>
      <w:r>
        <w:rPr>
          <w:noProof/>
        </w:rPr>
        <w:t>(</w:t>
      </w:r>
      <w:r w:rsidRPr="00E15768">
        <w:rPr>
          <w:noProof/>
        </w:rPr>
        <w:t>2015)</w:t>
      </w:r>
      <w:r>
        <w:fldChar w:fldCharType="end"/>
      </w:r>
      <w:r>
        <w:t xml:space="preserve"> </w:t>
      </w:r>
      <w:r w:rsidRPr="001A6C16">
        <w:t xml:space="preserve">menemukan bahwa ketika seseorang memancarkan kepercayaan pada kemampuan mereka untuk menjadi hijau, mereka </w:t>
      </w:r>
      <w:proofErr w:type="gramStart"/>
      <w:r w:rsidRPr="001A6C16">
        <w:t>akan</w:t>
      </w:r>
      <w:proofErr w:type="gramEnd"/>
      <w:r w:rsidRPr="001A6C16">
        <w:t xml:space="preserve"> sesuai dengan perilaku mereka. Demikian juga, pengaruh lingkungan yang berasal dari paparan media telah ditemukan untuk mendorong perilaku</w:t>
      </w:r>
      <w:r>
        <w:t xml:space="preserve"> hijau </w:t>
      </w:r>
      <w:r>
        <w:fldChar w:fldCharType="begin" w:fldLock="1"/>
      </w:r>
      <w:r w:rsidR="00915A1B">
        <w:instrText>ADDIN CSL_CITATION {"citationItems":[{"id":"ITEM-1","itemData":{"DOI":"10.1080/08961530.2014.900249","ISSN":"15287068","abstract":"Sustainable consumption encompasses purchases that are intrinsically green, fairly traded products from a developing country, products that are organically grown, products that are against animal testing, and so forth. As such, the choice of sustainable consumption reflects/conveys not only purchase preference or activity but also a larger representation about choice and voice of values and lifestyles. No studies have so far examined sustainable consumption among Hong Kong consumers. The present article therefore pioneers in investigating what factors predict young educated consumers to engage in sustainable consumption in Hong Kong. Incorporating the concepts of social cognitive theory and reciprocal determinism, this article aims to illustrate the dynamic nature of sustainable consumption and to provide a more nuanced view of behavioral change. Using a sample of 801 young educated consumers, a survey has been developed and administered. Hierarchical regression analyses indicate that six factors predict Hong Kong young educated consumers' sustainable consumption behavior in the following descending order: supportive behaviors for environmental organizations, attitude toward sustainable development efforts, parental influence, recycling behavior, peer influence, and environmental concern. The author then proposes a model that depicts the flow of influence of the top three predictors on sustainable consumption behavior. Path analysis confirms that the paths first go from supportive behaviors for environmental organizations to parental influence, which in turn facilitates attitude toward sustainable development efforts. The author concludes by outlining theoretical and practical implications for international sustainable consumption. © 2014 Copyright © Taylor &amp; Francis Group, LLC.","author":[{"dropping-particle":"","family":"Lee","given":"Kaman","non-dropping-particle":"","parse-names":false,"suffix":""}],"container-title":"Journal of International Consumer Marketing","id":"ITEM-1","issue":"3","issued":{"date-parts":[["2014"]]},"page":"217-238","title":"Predictors of Sustainable Consumption among Young Educated Consumers in Hong Kong","type":"article-journal","volume":"26"},"uris":["http://www.mendeley.com/documents/?uuid=53cbdaba-8a0c-4248-ad92-94bb96c64b32"]}],"mendeley":{"formattedCitation":"(Lee, 2014)","plainTextFormattedCitation":"(Lee, 2014)","previouslyFormattedCitation":"(Lee, 2014)"},"properties":{"noteIndex":0},"schema":"https://github.com/citation-style-language/schema/raw/master/csl-citation.json"}</w:instrText>
      </w:r>
      <w:r>
        <w:fldChar w:fldCharType="separate"/>
      </w:r>
      <w:r w:rsidRPr="00E15768">
        <w:rPr>
          <w:noProof/>
        </w:rPr>
        <w:t>(Lee, 2014)</w:t>
      </w:r>
      <w:r>
        <w:fldChar w:fldCharType="end"/>
      </w:r>
      <w:r>
        <w:t xml:space="preserve">. </w:t>
      </w:r>
      <w:proofErr w:type="gramStart"/>
      <w:r w:rsidRPr="001A6C16">
        <w:t>Di lembaga ramah lingkungan, kampanye dan inisiatif hijau yang diadakan di kampus seringkali disertai dengan fasilitas struktural yang mendukung perilaku hijau.</w:t>
      </w:r>
      <w:proofErr w:type="gramEnd"/>
      <w:r w:rsidRPr="001A6C16">
        <w:t xml:space="preserve"> </w:t>
      </w:r>
      <w:proofErr w:type="gramStart"/>
      <w:r w:rsidRPr="001A6C16">
        <w:t>Juga, tempat sampah daur ulang dan tempat sampah elektronik adalah beberapa atribut fisik yang terletak di kampus.</w:t>
      </w:r>
      <w:proofErr w:type="gramEnd"/>
      <w:r w:rsidRPr="001A6C16">
        <w:t xml:space="preserve"> </w:t>
      </w:r>
      <w:proofErr w:type="gramStart"/>
      <w:r w:rsidRPr="001A6C16">
        <w:t>Lingkungan seperti itu dikatakan untuk menanamkan kepercayaan di kalangan konsumen muda untuk berlatih menjadi hijau</w:t>
      </w:r>
      <w:r w:rsidR="0032214B">
        <w:t>.</w:t>
      </w:r>
      <w:proofErr w:type="gramEnd"/>
      <w:r w:rsidR="0032214B">
        <w:t xml:space="preserve"> </w:t>
      </w:r>
      <w:r w:rsidR="0032214B" w:rsidRPr="00FC4C45">
        <w:t xml:space="preserve">Berdasarkan pembahasan tersebut maka dapat dirumuskan hipotesis sebagai berikut: </w:t>
      </w:r>
    </w:p>
    <w:p w:rsidR="00E15768" w:rsidRPr="001A6C16" w:rsidRDefault="00E15768" w:rsidP="00E15768">
      <w:pPr>
        <w:rPr>
          <w:b/>
          <w:bCs/>
        </w:rPr>
      </w:pPr>
    </w:p>
    <w:p w:rsidR="00E15768" w:rsidRPr="001A6C16" w:rsidRDefault="00E15768" w:rsidP="00E15768">
      <w:pPr>
        <w:rPr>
          <w:b/>
          <w:bCs/>
        </w:rPr>
      </w:pPr>
      <w:r w:rsidRPr="001A6C16">
        <w:rPr>
          <w:b/>
          <w:bCs/>
        </w:rPr>
        <w:t xml:space="preserve">H2: </w:t>
      </w:r>
      <w:r w:rsidRPr="00E15768">
        <w:rPr>
          <w:b/>
          <w:bCs/>
          <w:i/>
        </w:rPr>
        <w:t>Self efeciency</w:t>
      </w:r>
      <w:r w:rsidRPr="001A6C16">
        <w:rPr>
          <w:b/>
          <w:bCs/>
        </w:rPr>
        <w:t xml:space="preserve"> </w:t>
      </w:r>
      <w:r>
        <w:rPr>
          <w:b/>
          <w:bCs/>
        </w:rPr>
        <w:t>memediasi</w:t>
      </w:r>
      <w:r w:rsidRPr="001A6C16">
        <w:rPr>
          <w:b/>
          <w:bCs/>
        </w:rPr>
        <w:t xml:space="preserve"> </w:t>
      </w:r>
      <w:r w:rsidRPr="00E15768">
        <w:rPr>
          <w:b/>
          <w:bCs/>
          <w:i/>
        </w:rPr>
        <w:t>Campus Advertisement</w:t>
      </w:r>
      <w:r w:rsidRPr="001A6C16">
        <w:rPr>
          <w:b/>
          <w:bCs/>
        </w:rPr>
        <w:t xml:space="preserve"> dan </w:t>
      </w:r>
      <w:r w:rsidRPr="00E15768">
        <w:rPr>
          <w:b/>
          <w:bCs/>
          <w:i/>
        </w:rPr>
        <w:t>Pro env intension</w:t>
      </w:r>
    </w:p>
    <w:p w:rsidR="00E15768" w:rsidRPr="001A6C16" w:rsidRDefault="00E15768" w:rsidP="00E15768"/>
    <w:p w:rsidR="00E15768" w:rsidRPr="001A6C16" w:rsidRDefault="00E15768" w:rsidP="00E15768">
      <w:r w:rsidRPr="001A6C16">
        <w:t xml:space="preserve">Dalam teori VBN, AR mengacu pada upaya individu untuk melakukan tindakan preventif terhadap lingkungan </w:t>
      </w:r>
      <w:r w:rsidR="0032214B">
        <w:fldChar w:fldCharType="begin" w:fldLock="1"/>
      </w:r>
      <w:r w:rsidR="0032214B">
        <w:instrText>ADDIN CSL_CITATION {"citationItems":[{"id":"ITEM-1","itemData":{"DOI":"10.1016/j.intmar.2020.02.001","ISSN":"15206653","abstract":"This research project investigates consumers' willingness to adopt online pro-environmental behaviors. First, we conducted an exploratory qualitative study that revealed respondents' low awareness of the environmental impact of Internet usage and reluctance to change their online behaviors. Consumers tend to decline all responsibility and expect companies and public authorities to take the necessary measures. Moreover, they are led by contradictory motives: not harming the environment on the one hand and continuing to use the Internet the way they currently do on the other. Based on these findings, two quantitative studies were conducted to investigate the determinants of consumers' self-attribution of responsibility to reduce the digital footprint of their online activity (e.g., using an eco-friendly search engine). Our conceptual model emphasizes the mechanisms of cognitive dissonance and highlights the crucial role of skepticism toward pro-environmental solutions. Implications for IT companies and public policy makers are discussed.","author":[{"dropping-particle":"","family":"Elgaaied-Gambier","given":"Leila","non-dropping-particle":"","parse-names":false,"suffix":""},{"dropping-particle":"","family":"Bertrandias","given":"Laurent","non-dropping-particle":"","parse-names":false,"suffix":""},{"dropping-particle":"","family":"Bernard","given":"Yohan","non-dropping-particle":"","parse-names":false,"suffix":""}],"container-title":"Journal of Interactive Marketing","id":"ITEM-1","issue":"June","issued":{"date-parts":[["2020"]]},"page":"120-135","publisher":"Marketing EDGE.org.","title":"Cutting the Internet's Environmental Footprint: An Analysis of Consumers' Self-Attribution of Responsibility","type":"article-journal","volume":"50"},"uris":["http://www.mendeley.com/documents/?uuid=44ab8645-5e21-4b2c-8b9e-1c4a96d7752e"]},{"id":"ITEM-2","itemData":{"DOI":"10.1111/0022-4537.00175","ISSN":"00224537","abstract":"This article develops a conceptual framework for advancing theories of environmentally significant individual behavior and reports on the attempts of the author's research group and others to develop such a theory. It discusses definitions of environmentally significant behavior; classifies the behaviors and their causes: assesses theories of environmentalism, focusing especially on value-belief-norm theory; evaluates the relationship between environmental concern and behavior; and summarizes evidence on the factors that determine environmentally significant behaviors and that can effectively alter them. The article concludes by presenting some major propositions supported by available research and some principles for guiding future research and informing the design of behavioral programs for environmental protection.","author":[{"dropping-particle":"","family":"Stern","given":"P. C.","non-dropping-particle":"","parse-names":false,"suffix":""}],"container-title":"Journal of Social Issues","id":"ITEM-2","issue":"3","issued":{"date-parts":[["2000"]]},"page":"407-424","title":"Toward a coherent theory of environmentally significant behavior","type":"article-journal","volume":"56"},"uris":["http://www.mendeley.com/documents/?uuid=29a40c80-4f29-414f-992c-b2b64a6b92bf"]}],"mendeley":{"formattedCitation":"(Elgaaied-Gambier et al., 2020; Stern, 2000)","plainTextFormattedCitation":"(Elgaaied-Gambier et al., 2020; Stern, 2000)","previouslyFormattedCitation":"(Elgaaied-Gambier et al., 2020; Stern, 2000)"},"properties":{"noteIndex":0},"schema":"https://github.com/citation-style-language/schema/raw/master/csl-citation.json"}</w:instrText>
      </w:r>
      <w:r w:rsidR="0032214B">
        <w:fldChar w:fldCharType="separate"/>
      </w:r>
      <w:r w:rsidR="0032214B" w:rsidRPr="0032214B">
        <w:rPr>
          <w:noProof/>
        </w:rPr>
        <w:t xml:space="preserve">(Elgaaied-Gambier </w:t>
      </w:r>
      <w:r w:rsidR="0032214B" w:rsidRPr="0032214B">
        <w:rPr>
          <w:i/>
          <w:noProof/>
        </w:rPr>
        <w:t>et al</w:t>
      </w:r>
      <w:r w:rsidR="0032214B" w:rsidRPr="0032214B">
        <w:rPr>
          <w:noProof/>
        </w:rPr>
        <w:t>., 2020; Stern, 2000)</w:t>
      </w:r>
      <w:r w:rsidR="0032214B">
        <w:fldChar w:fldCharType="end"/>
      </w:r>
      <w:r w:rsidRPr="001A6C16">
        <w:t xml:space="preserve">. Studi sebelumnya telah menetapkan bahwa AR memiliki efek positif pada perilaku pro-lingkungan, seperti pada penerimaan kebijakan </w:t>
      </w:r>
      <w:r w:rsidR="0032214B">
        <w:t xml:space="preserve">energy </w:t>
      </w:r>
      <w:r w:rsidR="0032214B">
        <w:fldChar w:fldCharType="begin" w:fldLock="1"/>
      </w:r>
      <w:r w:rsidR="0032214B">
        <w:instrText>ADDIN CSL_CITATION {"citationItems":[{"id":"ITEM-1","itemData":{"DOI":"10.1016/j.jenvp.2005.08.003","ISSN":"02724944","abstract":"This paper examines factors influencing the acceptability of energy policies aimed to reduce the emission of CO2 by households. More specifically, it is studied to what extent the value-belief-norm theory of environmentalism (VBN theory; Stern, [(2000). Toward a coherent theory of environmentally significant behavior. Journal of Social Issues, 56(3), 407-424.]) is successful in explaining acceptability judgements. In contrast to previous studies, we test the full VBN theory. A questionnaire study was conducted among 112 Dutch respondents. Results confirmed the causal order of the variables in VBN theory, moving from relative stable general values to beliefs about human-environment relations, which in turn affect behaviour specific beliefs and norms, and acceptability judgements, respectively. As expected, all variables were significantly related to the next variable in the causal chain. Biospheric values were also significantly related to feelings of moral obligation to reduce household energy consumption when intermediate variables were controlled for. Furthermore, as hypothesized, personal norms mediated the relationship between AR and acceptability judgements, AR beliefs mediated the relationship between AC beliefs and personal norms, AC beliefs mediated the relationship between NEP and AR beliefs, and NEP mediated the relationship between values and AC beliefs. © 2005 Elsevier Ltd. All rights reserved.","author":[{"dropping-particle":"","family":"Steg","given":"Linda","non-dropping-particle":"","parse-names":false,"suffix":""},{"dropping-particle":"","family":"Dreijerink","given":"Lieke","non-dropping-particle":"","parse-names":false,"suffix":""},{"dropping-particle":"","family":"Abrahamse","given":"Wokje","non-dropping-particle":"","parse-names":false,"suffix":""}],"container-title":"Journal of Environmental Psychology","id":"ITEM-1","issue":"4","issued":{"date-parts":[["2005"]]},"page":"415-425","title":"Factors influencing the acceptability of energy policies: A test of VBN theory","type":"article-journal","volume":"25"},"uris":["http://www.mendeley.com/documents/?uuid=44e47e78-e989-47c6-86cb-fea17c32b2d4"]},{"id":"ITEM-2","itemData":{"DOI":"10.1080/13669877.2014.910692","ISSN":"14664461","abstract":"This study extends the central part of the risk information seeking and processing model to examine how message elaboration influences individuals support for climate change mitigation policy and their intention to engage in pro-environmental behavior. Data were collected through online experimental surveys at two large universities in the Northeastern United States. Results indicate that perceived issue salience triggered negative affect and information insufficiency, both of which prompted systematic processing, which subsequently led to greater policy support and stronger intention to adopt more pro-environmental behaviors. From an applied perspective, this study suggests important pathways to encourage greater message elaboration, which may lead to increased public support for mitigation policies and adoption of pro-environmental behavior.","author":[{"dropping-particle":"","family":"Yang","given":"Z. Janet","non-dropping-particle":"","parse-names":false,"suffix":""},{"dropping-particle":"","family":"Seo","given":"Mihye","non-dropping-particle":"","parse-names":false,"suffix":""},{"dropping-particle":"","family":"Rickard","given":"Laura N.","non-dropping-particle":"","parse-names":false,"suffix":""},{"dropping-particle":"","family":"Harrison","given":"Teresa M.","non-dropping-particle":"","parse-names":false,"suffix":""}],"container-title":"Journal of Risk Research","id":"ITEM-2","issue":"6","issued":{"date-parts":[["2015"]]},"page":"727-746","title":"Information sufficiency and attribution of responsibility: Predicting support for climate change policy and pro-environmental behavior","type":"article-journal","volume":"18"},"uris":["http://www.mendeley.com/documents/?uuid=55358b27-a29d-4294-92cf-bf4867d4281a"]}],"mendeley":{"formattedCitation":"(Steg et al., 2005; Yang et al., 2015)","plainTextFormattedCitation":"(Steg et al., 2005; Yang et al., 2015)","previouslyFormattedCitation":"(Steg et al., 2005; Yang et al., 2015)"},"properties":{"noteIndex":0},"schema":"https://github.com/citation-style-language/schema/raw/master/csl-citation.json"}</w:instrText>
      </w:r>
      <w:r w:rsidR="0032214B">
        <w:fldChar w:fldCharType="separate"/>
      </w:r>
      <w:r w:rsidR="0032214B" w:rsidRPr="0032214B">
        <w:rPr>
          <w:noProof/>
        </w:rPr>
        <w:t xml:space="preserve">(Steg </w:t>
      </w:r>
      <w:r w:rsidR="0032214B" w:rsidRPr="0032214B">
        <w:rPr>
          <w:i/>
          <w:noProof/>
        </w:rPr>
        <w:t>et</w:t>
      </w:r>
      <w:r w:rsidR="0032214B" w:rsidRPr="0032214B">
        <w:rPr>
          <w:noProof/>
        </w:rPr>
        <w:t xml:space="preserve"> </w:t>
      </w:r>
      <w:r w:rsidR="0032214B" w:rsidRPr="0032214B">
        <w:rPr>
          <w:i/>
          <w:noProof/>
        </w:rPr>
        <w:t>al.</w:t>
      </w:r>
      <w:r w:rsidR="0032214B" w:rsidRPr="0032214B">
        <w:rPr>
          <w:noProof/>
        </w:rPr>
        <w:t>, 2005; Yang</w:t>
      </w:r>
      <w:r w:rsidR="0032214B" w:rsidRPr="0032214B">
        <w:rPr>
          <w:i/>
          <w:noProof/>
        </w:rPr>
        <w:t xml:space="preserve"> et al.</w:t>
      </w:r>
      <w:r w:rsidR="0032214B" w:rsidRPr="0032214B">
        <w:rPr>
          <w:noProof/>
        </w:rPr>
        <w:t>, 2015)</w:t>
      </w:r>
      <w:r w:rsidR="0032214B">
        <w:fldChar w:fldCharType="end"/>
      </w:r>
      <w:r w:rsidRPr="0032214B">
        <w:rPr>
          <w:b/>
        </w:rPr>
        <w:t>,</w:t>
      </w:r>
      <w:r w:rsidRPr="001A6C16">
        <w:t xml:space="preserve"> perilaku daur ulang</w:t>
      </w:r>
      <w:r w:rsidR="0032214B">
        <w:t xml:space="preserve"> </w:t>
      </w:r>
      <w:r w:rsidR="0032214B">
        <w:fldChar w:fldCharType="begin" w:fldLock="1"/>
      </w:r>
      <w:r w:rsidR="0032214B">
        <w:instrText>ADDIN CSL_CITATION {"citationItems":[{"id":"ITEM-1","itemData":{"DOI":"10.3390/ijerph17134887","ISSN":"16604601","PMID":"32645866","abstract":"The sorting of domestic waste is the most effective way to alleviate the problem of mass garbage accumulation around the villages of rural China. Farmers are the creators of rural domestic waste as well as the direct beneficiaries of effective waste management. However, few studies have been conducted on the psychological determinants of farmers’ intentions to sort domestic waste. This paper applies planned behavior theory (TPB) and normative activation theory (NAM), to analyze the domestic waste sorting intentions of rural residents in Guanzhong, China. Based on the micro-data of 327 rural households in Guanzhong, structural equation models of the factors influencing farmers’ domestic waste sorting intentions were estimated. The results demonstrate the following. (1) Farmers’ attitudes, perceived behavioral control, and personal norms have significant positive direct impacts on their domestic waste sorting intentions, with personal norms having the greatest direct impact. (2) Subjective norms have no direct impact on farmers’ domestic waste sorting intentions but do have an indirect impact on them through personal norms, behavioral attitudes, and perceived behavior control. This article increases scholarly understanding of the psychosocial determinants of the environmentally friendly behavioral intention to sort domestic waste. The study also provides academic and theoretical support to policy makers in implementing relevant policy recommendations.","author":[{"dropping-particle":"","family":"Shen","given":"Jing","non-dropping-particle":"","parse-names":false,"suffix":""},{"dropping-particle":"","family":"Zheng","given":"Donghui","non-dropping-particle":"","parse-names":false,"suffix":""},{"dropping-particle":"","family":"Zhang","given":"Xiaoning","non-dropping-particle":"","parse-names":false,"suffix":""},{"dropping-particle":"","family":"Qu","given":"Mei","non-dropping-particle":"","parse-names":false,"suffix":""}],"container-title":"International Journal of Environmental Research and Public Health","id":"ITEM-1","issue":"13","issued":{"date-parts":[["2020"]]},"page":"1-14","title":"Investigating rural domestic waste sorting intentions based on an integrative framework of planned behavior theory and normative activation models: Evidence from guanzhong basin, China","type":"article-journal","volume":"17"},"uris":["http://www.mendeley.com/documents/?uuid=fa2d4c11-9646-4339-8291-ea093b3aef13"]}],"mendeley":{"formattedCitation":"(Shen et al., 2020)","plainTextFormattedCitation":"(Shen et al., 2020)","previouslyFormattedCitation":"(Shen et al., 2020)"},"properties":{"noteIndex":0},"schema":"https://github.com/citation-style-language/schema/raw/master/csl-citation.json"}</w:instrText>
      </w:r>
      <w:r w:rsidR="0032214B">
        <w:fldChar w:fldCharType="separate"/>
      </w:r>
      <w:r w:rsidR="0032214B" w:rsidRPr="0032214B">
        <w:rPr>
          <w:noProof/>
        </w:rPr>
        <w:t xml:space="preserve">(Shen </w:t>
      </w:r>
      <w:r w:rsidR="0032214B" w:rsidRPr="0032214B">
        <w:rPr>
          <w:i/>
          <w:noProof/>
        </w:rPr>
        <w:t>et al.</w:t>
      </w:r>
      <w:r w:rsidR="0032214B" w:rsidRPr="0032214B">
        <w:rPr>
          <w:noProof/>
        </w:rPr>
        <w:t>, 2020)</w:t>
      </w:r>
      <w:r w:rsidR="0032214B">
        <w:fldChar w:fldCharType="end"/>
      </w:r>
      <w:r w:rsidR="0032214B">
        <w:t xml:space="preserve"> </w:t>
      </w:r>
      <w:r w:rsidRPr="001A6C16">
        <w:t xml:space="preserve"> dan pengurangan penggunaan mobil </w:t>
      </w:r>
      <w:r w:rsidR="0032214B">
        <w:fldChar w:fldCharType="begin" w:fldLock="1"/>
      </w:r>
      <w:r w:rsidR="0032214B">
        <w:instrText>ADDIN CSL_CITATION {"citationItems":[{"id":"ITEM-1","itemData":{"DOI":"10.1080/13669877.2015.1121904","ISSN":"14664461","abstract":"This study compares residents of two Chinese cities–one with a high risk and one with a low risk of air pollution, in terms of their smog experience, reliance on smog information sources, risk perception, attribution of responsibility and intention for adoption of protective behavior regarding smog. The results indicate that the two cities differ considerably in their smog experience, somewhat less so in reliance on smog information sources and risk perception, and very little in protective behavior. Using multiple regression analyses, the study revealed a basic chain of reaction in which demographic characteristics and location cause smog experience and smog information, smog experience and smog information cause risk perception, risk perception causes attribution of responsibility, and attribution of responsibility causes intention to adopt protective behavior. Theoretical and practical implications are discussed and recommendations for further research are suggested.","author":[{"dropping-particle":"","family":"Wei","given":"Jiuchang","non-dropping-particle":"","parse-names":false,"suffix":""},{"dropping-particle":"","family":"Zhu","given":"Weiwei","non-dropping-particle":"","parse-names":false,"suffix":""},{"dropping-particle":"","family":"Marinova","given":"Dora","non-dropping-particle":"","parse-names":false,"suffix":""},{"dropping-particle":"","family":"Wang","given":"Fei","non-dropping-particle":"","parse-names":false,"suffix":""}],"container-title":"Journal of Risk Research","id":"ITEM-1","issue":"7","issued":{"date-parts":[["2017"]]},"page":"846-867","title":"Household adoption of smog protective behavior: a comparison between two Chinese cities","type":"article-journal","volume":"20"},"uris":["http://www.mendeley.com/documents/?uuid=07a0a010-564c-4979-a3c6-2064dbc247ab"]}],"mendeley":{"formattedCitation":"(Wei et al., 2017)","plainTextFormattedCitation":"(Wei et al., 2017)","previouslyFormattedCitation":"(Wei et al., 2017)"},"properties":{"noteIndex":0},"schema":"https://github.com/citation-style-language/schema/raw/master/csl-citation.json"}</w:instrText>
      </w:r>
      <w:r w:rsidR="0032214B">
        <w:fldChar w:fldCharType="separate"/>
      </w:r>
      <w:r w:rsidR="0032214B" w:rsidRPr="0032214B">
        <w:rPr>
          <w:noProof/>
        </w:rPr>
        <w:t xml:space="preserve">(Wei </w:t>
      </w:r>
      <w:r w:rsidR="0032214B" w:rsidRPr="0032214B">
        <w:rPr>
          <w:i/>
          <w:noProof/>
        </w:rPr>
        <w:t>et al</w:t>
      </w:r>
      <w:r w:rsidR="0032214B" w:rsidRPr="0032214B">
        <w:rPr>
          <w:noProof/>
        </w:rPr>
        <w:t>., 2017)</w:t>
      </w:r>
      <w:r w:rsidR="0032214B">
        <w:fldChar w:fldCharType="end"/>
      </w:r>
      <w:r w:rsidRPr="001A6C16">
        <w:t xml:space="preserve"> tetapi berhubungan negatif dengan perilaku online pro-lingkungan </w:t>
      </w:r>
      <w:r w:rsidR="0032214B">
        <w:fldChar w:fldCharType="begin" w:fldLock="1"/>
      </w:r>
      <w:r w:rsidR="0032214B">
        <w:instrText>ADDIN CSL_CITATION {"citationItems":[{"id":"ITEM-1","itemData":{"DOI":"10.1016/j.intmar.2020.02.001","ISSN":"15206653","abstract":"This research project investigates consumers' willingness to adopt online pro-environmental behaviors. First, we conducted an exploratory qualitative study that revealed respondents' low awareness of the environmental impact of Internet usage and reluctance to change their online behaviors. Consumers tend to decline all responsibility and expect companies and public authorities to take the necessary measures. Moreover, they are led by contradictory motives: not harming the environment on the one hand and continuing to use the Internet the way they currently do on the other. Based on these findings, two quantitative studies were conducted to investigate the determinants of consumers' self-attribution of responsibility to reduce the digital footprint of their online activity (e.g., using an eco-friendly search engine). Our conceptual model emphasizes the mechanisms of cognitive dissonance and highlights the crucial role of skepticism toward pro-environmental solutions. Implications for IT companies and public policy makers are discussed.","author":[{"dropping-particle":"","family":"Elgaaied-Gambier","given":"Leila","non-dropping-particle":"","parse-names":false,"suffix":""},{"dropping-particle":"","family":"Bertrandias","given":"Laurent","non-dropping-particle":"","parse-names":false,"suffix":""},{"dropping-particle":"","family":"Bernard","given":"Yohan","non-dropping-particle":"","parse-names":false,"suffix":""}],"container-title":"Journal of Interactive Marketing","id":"ITEM-1","issue":"June","issued":{"date-parts":[["2020"]]},"page":"120-135","publisher":"Marketing EDGE.org.","title":"Cutting the Internet's Environmental Footprint: An Analysis of Consumers' Self-Attribution of Responsibility","type":"article-journal","volume":"50"},"uris":["http://www.mendeley.com/documents/?uuid=44ab8645-5e21-4b2c-8b9e-1c4a96d7752e"]}],"mendeley":{"formattedCitation":"(Elgaaied-Gambier et al., 2020)","plainTextFormattedCitation":"(Elgaaied-Gambier et al., 2020)","previouslyFormattedCitation":"(Elgaaied-Gambier et al., 2020)"},"properties":{"noteIndex":0},"schema":"https://github.com/citation-style-language/schema/raw/master/csl-citation.json"}</w:instrText>
      </w:r>
      <w:r w:rsidR="0032214B">
        <w:fldChar w:fldCharType="separate"/>
      </w:r>
      <w:r w:rsidR="0032214B" w:rsidRPr="0032214B">
        <w:rPr>
          <w:noProof/>
        </w:rPr>
        <w:t xml:space="preserve">(Elgaaied-Gambier </w:t>
      </w:r>
      <w:r w:rsidR="0032214B" w:rsidRPr="0032214B">
        <w:rPr>
          <w:i/>
          <w:noProof/>
        </w:rPr>
        <w:t>et al.</w:t>
      </w:r>
      <w:r w:rsidR="0032214B" w:rsidRPr="0032214B">
        <w:rPr>
          <w:noProof/>
        </w:rPr>
        <w:t>, 2020)</w:t>
      </w:r>
      <w:r w:rsidR="0032214B">
        <w:fldChar w:fldCharType="end"/>
      </w:r>
      <w:r w:rsidR="0032214B">
        <w:t xml:space="preserve">. </w:t>
      </w:r>
      <w:r w:rsidRPr="001A6C16">
        <w:t>Meskipun AR terkait dengan persepsi individu tentang tugas moral mereka, lingkungan eksternal yang berasal dari media dapat menimbulkan rasa tanggung jawab pada individu, mengingat pengaruh media dapat digunakan untuk menghubungkan individu dengan pengaturan komunitas</w:t>
      </w:r>
      <w:r w:rsidR="0032214B">
        <w:t xml:space="preserve"> </w:t>
      </w:r>
      <w:r w:rsidR="0032214B">
        <w:fldChar w:fldCharType="begin" w:fldLock="1"/>
      </w:r>
      <w:r w:rsidR="00177705">
        <w:instrText>ADDIN CSL_CITATION {"citationItems":[{"id":"ITEM-1","itemData":{"ISBN":"13672223","abstract":"The capacity to exercise control over the nature and quality of one's life is the essence of humanness. Human agency is characterized by a number of core features that operate through phenomenal and functional consciousness. These include the temporal extension of agency through intentionality and forethought, self-regulation by self-reactive influence, and self-reflectiveness about one's capabilities, quality of functioning, and the meaning and purpose of one's life pursuits. Personal agency operates within a broad network of sociostructural influences. In these agentic transactions, people are producers as well as products of social systems. Social cognitive theory distinguishes among three modes of agency: direct personal agency, proxy agency that relies on others to act on one's behest to secure desired outcomes, and collective agency exercised through socially coordinative and interdependent effort. Growing transnational embeddedness and interdependence are placing a premium on collective efficacy to exercise control over personal destinies and national life.","author":[{"dropping-particle":"","family":"Bandura,Albert","given":"","non-dropping-particle":"","parse-names":false,"suffix":""}],"container-title":"Asian Journal of Social Psychology","id":"ITEM-1","issue":"1","issued":{"date-parts":[["1999"]]},"page":"1-26","title":"Social Cognitive Theory: An Agentic Perspective.","type":"article-journal","volume":"2"},"uris":["http://www.mendeley.com/documents/?uuid=7addbe0e-2ee4-4d4f-9dcf-c0b3fb778b72"]}],"mendeley":{"formattedCitation":"(Bandura,Albert, 1999)","plainTextFormattedCitation":"(Bandura,Albert, 1999)","previouslyFormattedCitation":"(Bandura,Albert, 1999)"},"properties":{"noteIndex":0},"schema":"https://github.com/citation-style-language/schema/raw/master/csl-citation.json"}</w:instrText>
      </w:r>
      <w:r w:rsidR="0032214B">
        <w:fldChar w:fldCharType="separate"/>
      </w:r>
      <w:r w:rsidR="0032214B" w:rsidRPr="0032214B">
        <w:rPr>
          <w:noProof/>
        </w:rPr>
        <w:t>(Bandura,Albert, 1999)</w:t>
      </w:r>
      <w:r w:rsidR="0032214B">
        <w:fldChar w:fldCharType="end"/>
      </w:r>
      <w:r w:rsidR="0032214B">
        <w:t xml:space="preserve">. </w:t>
      </w:r>
      <w:r w:rsidR="0032214B" w:rsidRPr="00FC4C45">
        <w:t>Berdasarkan pembahasan tersebut maka dapat dirumuskan hipotesis sebagai berikut:</w:t>
      </w:r>
    </w:p>
    <w:p w:rsidR="00E15768" w:rsidRPr="001A6C16" w:rsidRDefault="00E15768" w:rsidP="00E15768">
      <w:pPr>
        <w:rPr>
          <w:b/>
          <w:bCs/>
        </w:rPr>
      </w:pPr>
    </w:p>
    <w:p w:rsidR="00E15768" w:rsidRPr="001A6C16" w:rsidRDefault="00E15768" w:rsidP="00E15768">
      <w:pPr>
        <w:rPr>
          <w:b/>
          <w:bCs/>
        </w:rPr>
      </w:pPr>
      <w:r w:rsidRPr="001A6C16">
        <w:rPr>
          <w:b/>
          <w:bCs/>
        </w:rPr>
        <w:t xml:space="preserve">H3: </w:t>
      </w:r>
      <w:r w:rsidRPr="0032214B">
        <w:rPr>
          <w:b/>
          <w:bCs/>
          <w:i/>
        </w:rPr>
        <w:t>Attribute of responsibility</w:t>
      </w:r>
      <w:r w:rsidRPr="001A6C16">
        <w:rPr>
          <w:b/>
          <w:bCs/>
        </w:rPr>
        <w:t xml:space="preserve"> memediasi </w:t>
      </w:r>
      <w:r w:rsidRPr="0032214B">
        <w:rPr>
          <w:b/>
          <w:bCs/>
          <w:i/>
        </w:rPr>
        <w:t>Campus Advertisement</w:t>
      </w:r>
      <w:r w:rsidRPr="001A6C16">
        <w:rPr>
          <w:b/>
          <w:bCs/>
        </w:rPr>
        <w:t xml:space="preserve"> </w:t>
      </w:r>
      <w:proofErr w:type="gramStart"/>
      <w:r w:rsidRPr="001A6C16">
        <w:rPr>
          <w:b/>
          <w:bCs/>
        </w:rPr>
        <w:t xml:space="preserve">dan  </w:t>
      </w:r>
      <w:r w:rsidRPr="0032214B">
        <w:rPr>
          <w:b/>
          <w:bCs/>
          <w:i/>
        </w:rPr>
        <w:t>pro</w:t>
      </w:r>
      <w:proofErr w:type="gramEnd"/>
      <w:r w:rsidRPr="0032214B">
        <w:rPr>
          <w:b/>
          <w:bCs/>
          <w:i/>
        </w:rPr>
        <w:t xml:space="preserve"> env intension</w:t>
      </w:r>
    </w:p>
    <w:p w:rsidR="00E15768" w:rsidRPr="001A6C16" w:rsidRDefault="00E15768" w:rsidP="00E15768"/>
    <w:p w:rsidR="00E15768" w:rsidRPr="001A6C16" w:rsidRDefault="00E15768" w:rsidP="00E15768">
      <w:r w:rsidRPr="001A6C16">
        <w:t>Dalam teori VBN, PENs mengacu pada kewajiban moral individu terhadap lingkungan</w:t>
      </w:r>
      <w:r w:rsidR="00177705">
        <w:t xml:space="preserve"> </w:t>
      </w:r>
      <w:r w:rsidR="00177705">
        <w:fldChar w:fldCharType="begin" w:fldLock="1"/>
      </w:r>
      <w:r w:rsidR="00177705">
        <w:instrText>ADDIN CSL_CITATION {"citationItems":[{"id":"ITEM-1","itemData":{"DOI":"10.1016/j.jhtm.2020.11.008","ISSN":"18395260","abstract":"This study examines the influence of CSR on employee green behaviour through employee well-being and personal environmental norms. Furthermore, it examines the moderating role of hotel environmental strategy on these relationships. The proposed model was validated using of 988 hotels’ employees. The findings revealed that CSR is a key driver of employee green behaviour. Employee well-being and personal environmental norms partially mediate this relationship. Personal environmental norms is a key driver of green behaviour. Furthermore, the findings indicate that hotel environmental strategy moderates these relationships. The findings of this study enrich our knowledge about the social outcomes of CSR. A key practical implications are justified and explained.","author":[{"dropping-particle":"","family":"AlSuwaidi","given":"Mohammed","non-dropping-particle":"","parse-names":false,"suffix":""},{"dropping-particle":"","family":"Eid","given":"Riyad","non-dropping-particle":"","parse-names":false,"suffix":""},{"dropping-particle":"","family":"Agag","given":"Gomaa","non-dropping-particle":"","parse-names":false,"suffix":""}],"container-title":"Journal of Hospitality and Tourism Management","id":"ITEM-1","issued":{"date-parts":[["2021"]]},"page":"50-61","title":"Understanding the link between CSR and employee green behaviour","type":"article-journal","volume":"46"},"uris":["http://www.mendeley.com/documents/?uuid=50170258-2993-4912-a296-915db6305c92"]},{"id":"ITEM-2","itemData":{"ISSN":"00652601","abstract":"This chapter addresses the universals in the content and structure of values, concentrating on the theoretical advances and empirical tests in 20 countries, and its four basic issues: substantive contents of human values; identification of comprehensive set of values; extent to which the meaning of particular values was equivalent for different groups of people; and how the relations among different values was structured. Substantial progress has been made toward resolving each of these issues. Ten motivationally distinct value types that were likely to be recognized within and across cultures and used to form value priorities were identified. Set of value types that was relatively comprehensive, encompassing virtually all the types of values to which individuals attribute at least moderate importance as criteria of evaluation was demonstrated. The evidence from 20 countries was assembled, showing that the meaning of the value types and most of the single values that constitute them was reasonably equivalent across most groups. Two basic dimensions that organize value systems into an integrated motivational structure with consistent value conflicts and compatibilities were discovered. By identifying universal aspects of value content and structure, the chapter has laid the foundations for investigating culture-specific aspects in the future. © 1992, Academic Press Inc.","author":[{"dropping-particle":"","family":"Shalom H. Schwartz","given":"","non-dropping-particle":"","parse-names":false,"suffix":""}],"container-title":"Advances in Experimental Social Psychology","id":"ITEM-2","issue":"C","issued":{"date-parts":[["1992"]]},"page":"1-65","title":"Universals in the content and structure of values: Theoretical advances and empirical tests in 20 countries","type":"article-journal","volume":"25"},"uris":["http://www.mendeley.com/documents/?uuid=3ea8a503-6e13-4a48-bcc9-2ef8740b9c8e"]}],"mendeley":{"formattedCitation":"(AlSuwaidi et al., 2021; Shalom H. Schwartz, 1992)","plainTextFormattedCitation":"(AlSuwaidi et al., 2021; Shalom H. Schwartz, 1992)","previouslyFormattedCitation":"(AlSuwaidi et al., 2021; Shalom H. Schwartz, 1992)"},"properties":{"noteIndex":0},"schema":"https://github.com/citation-style-language/schema/raw/master/csl-citation.json"}</w:instrText>
      </w:r>
      <w:r w:rsidR="00177705">
        <w:fldChar w:fldCharType="separate"/>
      </w:r>
      <w:r w:rsidR="00177705" w:rsidRPr="00177705">
        <w:rPr>
          <w:noProof/>
        </w:rPr>
        <w:t>(AlSuwaidi et al., 2021; Shalom H. Schwartz, 1992)</w:t>
      </w:r>
      <w:r w:rsidR="00177705">
        <w:fldChar w:fldCharType="end"/>
      </w:r>
      <w:r w:rsidR="00177705">
        <w:t xml:space="preserve">. </w:t>
      </w:r>
      <w:r w:rsidRPr="001A6C16">
        <w:t>Berdasarkan</w:t>
      </w:r>
      <w:r w:rsidR="00177705">
        <w:t xml:space="preserve"> </w:t>
      </w:r>
      <w:r w:rsidR="00177705">
        <w:fldChar w:fldCharType="begin" w:fldLock="1"/>
      </w:r>
      <w:r w:rsidR="00177705">
        <w:instrText>ADDIN CSL_CITATION {"citationItems":[{"id":"ITEM-1","itemData":{"DOI":"10.1016/j.enpol.2013.07.036","ISSN":"03014215","abstract":"China is one of the major energy-consuming countries, and is under great pressure to promote energy saving and reduce domestic energy consumption. Employees constitute an important target group for energy saving. However, only a few research efforts have been paid to study what drives employee energy saving behavior in organizations. To fill this gap, drawing on norm activation model (NAM), we built a research model to study antecedents of employee electricity saving behavior in organizations. The model was empirically tested using survey data collected from office workers in Beijing, China. Results show that personal norm positively influences employee electricity saving behavior. Organizational electricity saving climate negatively moderates the effect of personal norm on electricity saving behavior. Awareness of consequences, ascription of responsibility, and organizational electricity saving climate positively influence personal norm. Furthermore, awareness of consequences positively influences ascription of responsibility. This paper contributes to the energy saving behavior literature by building a theoretical model of employee electricity saving behavior which is understudied in the current literature. Based on the empirical results, implications on how to promote employee electricity saving are discussed. © 2013 Elsevier Ltd.","author":[{"dropping-particle":"","family":"Zhang","given":"Yixiang","non-dropping-particle":"","parse-names":false,"suffix":""},{"dropping-particle":"","family":"Wang","given":"Zhaohua","non-dropping-particle":"","parse-names":false,"suffix":""},{"dropping-particle":"","family":"Zhou","given":"Guanghui","non-dropping-particle":"","parse-names":false,"suffix":""}],"container-title":"Energy Policy","id":"ITEM-1","issued":{"date-parts":[["2013"]]},"page":"1120-1127","title":"Antecedents of employee electricity saving behavior in organizations: An empirical study based on norm activation model","type":"article-journal","volume":"62"},"uris":["http://www.mendeley.com/documents/?uuid=cb31b4d9-d83a-40b1-90c4-1e1e8ea37fa5"]}],"mendeley":{"formattedCitation":"(Zhang et al., 2013)","manualFormatting":"Zhang et al., (2013)","plainTextFormattedCitation":"(Zhang et al., 2013)","previouslyFormattedCitation":"(Zhang et al., 2013)"},"properties":{"noteIndex":0},"schema":"https://github.com/citation-style-language/schema/raw/master/csl-citation.json"}</w:instrText>
      </w:r>
      <w:r w:rsidR="00177705">
        <w:fldChar w:fldCharType="separate"/>
      </w:r>
      <w:r w:rsidR="00177705" w:rsidRPr="00177705">
        <w:rPr>
          <w:noProof/>
        </w:rPr>
        <w:t xml:space="preserve">Zhang </w:t>
      </w:r>
      <w:r w:rsidR="00177705" w:rsidRPr="00177705">
        <w:rPr>
          <w:i/>
          <w:noProof/>
        </w:rPr>
        <w:t>et al</w:t>
      </w:r>
      <w:r w:rsidR="00177705" w:rsidRPr="00177705">
        <w:rPr>
          <w:noProof/>
        </w:rPr>
        <w:t xml:space="preserve">., </w:t>
      </w:r>
      <w:r w:rsidR="00177705">
        <w:rPr>
          <w:noProof/>
        </w:rPr>
        <w:t>(</w:t>
      </w:r>
      <w:r w:rsidR="00177705" w:rsidRPr="00177705">
        <w:rPr>
          <w:noProof/>
        </w:rPr>
        <w:t>2013)</w:t>
      </w:r>
      <w:r w:rsidR="00177705">
        <w:fldChar w:fldCharType="end"/>
      </w:r>
      <w:r w:rsidRPr="001A6C16">
        <w:t>, ada kemungkinan besar individu terlibat dalam perilaku pro-lingkungan jika mereka memancarkan norma-norma pribadi karena berfungsi sebagai kekuatan motivasi intrinsik untuk memandu perilaku. Norma pribadi diaktifkan ketika individu secara kognitif sadar akan dampak berbahaya dari tindakan mereka terhadap lingkungan</w:t>
      </w:r>
      <w:r w:rsidR="00177705">
        <w:t xml:space="preserve"> </w:t>
      </w:r>
      <w:r w:rsidR="00177705">
        <w:fldChar w:fldCharType="begin" w:fldLock="1"/>
      </w:r>
      <w:r w:rsidR="00177705">
        <w:instrText>ADDIN CSL_CITATION {"citationItems":[{"id":"ITEM-1","itemData":{"DOI":"10.14414/jebav.v21i2.1197","ISSN":"2087-3735","abstract":"Low interest of student to entrepreneurship is a pity as the global university entre­preneurial spirit students survey. To improve the students entrepreneurial perform­ance, such factors take part influencing entrepreneurial performance, such as inno­va­tiveness, risk taking, proactiveness, competitive aggresiveness, autonomy, and of course entrepreneurial mindset. This research aims to determine the effect of those variables on entrepreneurial performance of college students of management which are A accredited in Malang City, Indonesia. The samples are 374 students from five universities. The analysis technique used is the test of Goodness Fit Model and Path Coefficients test with the help of the program SmartPLS 2.0 and SPSS. The results indicate that the entrepre­neurial mindset has significant effect on innovativeness, risk taking, proactiveness, competitive aggresiveness, and autonomy. Moreover, the characteristics of innovativeness, risk taking, proactiveness, competitive aggre­sive­ness, and autonomy have significant effect on the entrepreneurial performance of college students.","author":[{"dropping-particle":"","family":"Sutanto","given":"Eddy Madiono","non-dropping-particle":"","parse-names":false,"suffix":""},{"dropping-particle":"","family":"Sigiols","given":"Peter J.","non-dropping-particle":"","parse-names":false,"suffix":""},{"dropping-particle":"","family":"Putih","given":"Ivando","non-dropping-particle":"","parse-names":false,"suffix":""}],"container-title":"Journal of Economics, Business &amp; Accountancy Ventura","id":"ITEM-1","issue":"2","issued":{"date-parts":[["2018"]]},"page":"251-258","title":"University Students’ Entrepreneurial Performance","type":"article-journal","volume":"21"},"uris":["http://www.mendeley.com/documents/?uuid=7ec72d80-735b-4066-8ff9-7617b906ab04"]}],"mendeley":{"formattedCitation":"(Sutanto et al., 2018)","plainTextFormattedCitation":"(Sutanto et al., 2018)","previouslyFormattedCitation":"(Sutanto et al., 2018)"},"properties":{"noteIndex":0},"schema":"https://github.com/citation-style-language/schema/raw/master/csl-citation.json"}</w:instrText>
      </w:r>
      <w:r w:rsidR="00177705">
        <w:fldChar w:fldCharType="separate"/>
      </w:r>
      <w:r w:rsidR="00177705" w:rsidRPr="00177705">
        <w:rPr>
          <w:noProof/>
        </w:rPr>
        <w:t xml:space="preserve">(Sutanto </w:t>
      </w:r>
      <w:r w:rsidR="00177705" w:rsidRPr="00177705">
        <w:rPr>
          <w:i/>
          <w:noProof/>
        </w:rPr>
        <w:t>et al.</w:t>
      </w:r>
      <w:r w:rsidR="00177705" w:rsidRPr="00177705">
        <w:rPr>
          <w:noProof/>
        </w:rPr>
        <w:t>, 2018)</w:t>
      </w:r>
      <w:r w:rsidR="00177705">
        <w:fldChar w:fldCharType="end"/>
      </w:r>
      <w:r w:rsidR="00177705">
        <w:t xml:space="preserve">. </w:t>
      </w:r>
      <w:r w:rsidRPr="001A6C16">
        <w:t>Penelitian sebelumnya telah mengungkapkan bahwa beberapa konsumen bersedia membayar harga yang lebih tinggi untuk produk makanan</w:t>
      </w:r>
      <w:r w:rsidR="0032214B">
        <w:t xml:space="preserve"> </w:t>
      </w:r>
      <w:r w:rsidRPr="001A6C16">
        <w:t>hijau</w:t>
      </w:r>
      <w:r w:rsidR="00177705">
        <w:t xml:space="preserve"> </w:t>
      </w:r>
      <w:r w:rsidR="00177705">
        <w:fldChar w:fldCharType="begin" w:fldLock="1"/>
      </w:r>
      <w:r w:rsidR="00177705">
        <w:instrText>ADDIN CSL_CITATION {"citationItems":[{"id":"ITEM-1","itemData":{"DOI":"10.1108/EUM0000000006155","ISSN":"07363761","abstract":"Concerns related to the environment are evident in the increasingly ecologically conscious marketplace. Using various statistical analyses, investigats the demographic, psychological and behavioral profiles of consumers who are willing to pay more for environmentally friendly products. Finds that this segment of consumers were more likely to be females, married and with at least one child living at home. They reported that today's ecological problems are severe, that corporations do not act responsiblv toward the environment and that behaving in an ecologically favorable fashion is important and not inconvenient. They place a high importance on security and warm relationships with others, and they often consider ecological issues when making a purchase. Managerial implications for green marketers and suggestions for future research are discussed.","author":[{"dropping-particle":"","family":"Laroche","given":"Michel","non-dropping-particle":"","parse-names":false,"suffix":""},{"dropping-particle":"","family":"Bergeron","given":"Jasmin","non-dropping-particle":"","parse-names":false,"suffix":""},{"dropping-particle":"","family":"Barbaro-Forleo","given":"Guido","non-dropping-particle":"","parse-names":false,"suffix":""}],"container-title":"Journal of Consumer Marketing","id":"ITEM-1","issue":"6","issued":{"date-parts":[["2001"]]},"page":"503-520","title":"Targeting consumers who are willing to pay more for environmentally friendly products","type":"article-journal","volume":"18"},"uris":["http://www.mendeley.com/documents/?uuid=373b75b6-c76d-4502-afde-59fe201a2bc0"]},{"id":"ITEM-2","itemData":{"DOI":"10.1016/j.jhtm.2017.10.010","ISSN":"18395260","abstract":"While organic food consumption has received recent attention, few studies have focused on consumer behaviors of organic menu selection restaurants. This study aims to fill that gap by investigating consumers' decision-making process with respect to organic menu choices based on the value-attitude-behavior model. Applying the tenet of the model, general sustainability values (i.e., altruistic, egoistic, and biosphere value), pro-environmental attitude, and willingness to pay more for an organic menu were introduced. A total of 467 responses were collected via an online survey, then analyzed using confirmatory factor analysis and structural equation modeling. Our results showed that altruistic value significantly affects biosphere values, which in turn influences willingness to pay more for an organic menu via pro-environmental attitude. This study provides the environmental perspectives underlying the impact of sustainability values and attitude on intentions to pay more for an organic menu. Theoretical and practical implications are discussed.","author":[{"dropping-particle":"","family":"Shin","given":"Yeon Ho","non-dropping-particle":"","parse-names":false,"suffix":""},{"dropping-particle":"","family":"Moon","given":"Hyoungeun","non-dropping-particle":"","parse-names":false,"suffix":""},{"dropping-particle":"","family":"Jung","given":"Seung Eun","non-dropping-particle":"","parse-names":false,"suffix":""},{"dropping-particle":"","family":"Severt","given":"Kimberly","non-dropping-particle":"","parse-names":false,"suffix":""}],"container-title":"Journal of Hospitality and Tourism Management","id":"ITEM-2","issue":"December","issued":{"date-parts":[["2017"]]},"page":"113-121","publisher":"Elsevier Taiwan LLC","title":"The effect of environmental values and attitudes on consumer willingness to pay more for organic menus: A value-attitude-behavior approach","type":"article-journal","volume":"33"},"uris":["http://www.mendeley.com/documents/?uuid=7874a482-2054-4292-8f12-5ad12663ffe9"]}],"mendeley":{"formattedCitation":"(Laroche et al., 2001; Shin et al., 2017)","plainTextFormattedCitation":"(Laroche et al., 2001; Shin et al., 2017)","previouslyFormattedCitation":"(Laroche et al., 2001; Shin et al., 2017)"},"properties":{"noteIndex":0},"schema":"https://github.com/citation-style-language/schema/raw/master/csl-citation.json"}</w:instrText>
      </w:r>
      <w:r w:rsidR="00177705">
        <w:fldChar w:fldCharType="separate"/>
      </w:r>
      <w:r w:rsidR="00177705" w:rsidRPr="00177705">
        <w:rPr>
          <w:noProof/>
        </w:rPr>
        <w:t xml:space="preserve">(Laroche </w:t>
      </w:r>
      <w:r w:rsidR="00177705" w:rsidRPr="00177705">
        <w:rPr>
          <w:i/>
          <w:noProof/>
        </w:rPr>
        <w:t>et al.</w:t>
      </w:r>
      <w:r w:rsidR="00177705" w:rsidRPr="00177705">
        <w:rPr>
          <w:noProof/>
        </w:rPr>
        <w:t>, 2001; Shin</w:t>
      </w:r>
      <w:r w:rsidR="00177705" w:rsidRPr="00177705">
        <w:rPr>
          <w:i/>
          <w:noProof/>
        </w:rPr>
        <w:t xml:space="preserve"> et al.</w:t>
      </w:r>
      <w:r w:rsidR="00177705" w:rsidRPr="00177705">
        <w:rPr>
          <w:noProof/>
        </w:rPr>
        <w:t>, 2017)</w:t>
      </w:r>
      <w:r w:rsidR="00177705">
        <w:fldChar w:fldCharType="end"/>
      </w:r>
      <w:r w:rsidRPr="001A6C16">
        <w:t xml:space="preserve">, pembelian anggur </w:t>
      </w:r>
      <w:r w:rsidR="00177705">
        <w:t xml:space="preserve">organik </w:t>
      </w:r>
      <w:r w:rsidR="00177705">
        <w:fldChar w:fldCharType="begin" w:fldLock="1"/>
      </w:r>
      <w:r w:rsidR="00177705">
        <w:instrText>ADDIN CSL_CITATION {"citationItems":[{"id":"ITEM-1","itemData":{"DOI":"10.1016/j.foodqual.2017.07.010","ISSN":"09503293","abstract":"Consumer surveys revealed positive attitudes towards organic wine in large consumer segments. Health, environmental and quality benefits were stated most often as drivers for purchase decisions. However, sales data show that the market share for organic wine is still far below 10% compared to the total wine market in all countries. Obviously, there is a gap between consumers’ attitudes and real purchase behaviour in daily decisions. So far, it is not clear whether there is congruence between consumers’ attitudes and their purchase behaviour and if the attitude-behaviour-gap differs among consumer segments. Consequently, the paper at hand explores the attitude-behaviour-gap with household panel data from the GfK Group by means of a cluster analysis. The results show that even though expenditure shares for organic wine were at a low level, attitudes were in line with purchase behaviour for five out of six clusters. For example, consumers who had the highest expenditure share for organic wine showed strong pro-environmental attitudes and a preference for sustainable products. Therefore, comprehensive communication about sustainability issues, which also includes social aspects, could help to further develop the organic wine market and lead to higher market shares. However, for the low-income consumer cluster, the price of organic wine seemed to be an effective barrier despite their positive attitudes towards environmentalism. Future studies need to consider that the extent of the attitude-behaviour-gap is segment specific.","author":[{"dropping-particle":"","family":"Schäufele","given":"Isabel","non-dropping-particle":"","parse-names":false,"suffix":""},{"dropping-particle":"","family":"Hamm","given":"Ulrich","non-dropping-particle":"","parse-names":false,"suffix":""}],"container-title":"Food Quality and Preference","id":"ITEM-1","issue":"June 2017","issued":{"date-parts":[["2018"]]},"page":"1-11","publisher":"Elsevier","title":"Organic wine purchase behaviour in Germany: Exploring the attitude-behaviour-gap with data from a household panel","type":"article-journal","volume":"63"},"uris":["http://www.mendeley.com/documents/?uuid=ac52db61-0bb1-4a4f-a09b-d1adb1e5bcee"]},{"id":"ITEM-2","itemData":{"DOI":"10.1002/mar.10042","ISSN":"07426046","abstract":"This study investigates whether the behavioral influence of personal norms with regard to repeated pro-social behavior depends on direct experience of this behavior. Based on previous norm and attitude research, it is hypothesized that (a) direct experience strengthens the influence of personal norms on behavior, and (b) direct experience is a stronger moderator in this case than in the attitude-behavior case. The case in question is the purchase of organic red wine. It is found that the outcome of consumers' choice between organic and nonorganic wine depends on their personal (moral) norms, after controlling for attitudes and subjective social norms. However, the influence of personal norms, though not of attitude, depends on whether the consumer has direct experience of buying organic red wine. Hence, both hypotheses are confirmed. © 2002 Wiley Periodicals, Inc.","author":[{"dropping-particle":"","family":"Thøgersen","given":"John","non-dropping-particle":"","parse-names":false,"suffix":""}],"container-title":"Psychology and Marketing","id":"ITEM-2","issue":"10","issued":{"date-parts":[["2002"]]},"page":"881-893","title":"Direct Experience and the Strength of the Personal Norm - Behavior Relationship","type":"article-journal","volume":"19"},"uris":["http://www.mendeley.com/documents/?uuid=e04ae1ae-06b2-4f85-af04-a02ef67ce587"]}],"mendeley":{"formattedCitation":"(Schäufele &amp; Hamm, 2018; Thøgersen, 2002)","plainTextFormattedCitation":"(Schäufele &amp; Hamm, 2018; Thøgersen, 2002)","previouslyFormattedCitation":"(Schäufele &amp; Hamm, 2018; Thøgersen, 2002)"},"properties":{"noteIndex":0},"schema":"https://github.com/citation-style-language/schema/raw/master/csl-citation.json"}</w:instrText>
      </w:r>
      <w:r w:rsidR="00177705">
        <w:fldChar w:fldCharType="separate"/>
      </w:r>
      <w:r w:rsidR="00177705" w:rsidRPr="00177705">
        <w:rPr>
          <w:noProof/>
        </w:rPr>
        <w:t>(Schäufele &amp; Hamm, 2018; Thøgersen, 2002)</w:t>
      </w:r>
      <w:r w:rsidR="00177705">
        <w:fldChar w:fldCharType="end"/>
      </w:r>
      <w:r w:rsidRPr="001A6C16">
        <w:t xml:space="preserve"> dan menggunakan moda perjalanan yang ramah lingkungan</w:t>
      </w:r>
      <w:r w:rsidR="00177705">
        <w:t xml:space="preserve"> </w:t>
      </w:r>
      <w:r w:rsidR="00177705">
        <w:fldChar w:fldCharType="begin" w:fldLock="1"/>
      </w:r>
      <w:r w:rsidR="00177705">
        <w:instrText>ADDIN CSL_CITATION {"citationItems":[{"id":"ITEM-1","itemData":{"DOI":"10.3390/su11072035","ISBN":"8210240935","ISSN":"20711050","abstract":"Utilizing a quantitative methodological approach, the present study presented and investigated an integrated model embracing environmental corporate social responsibility, image, emotional attachment, attitude, and moral norms in order to explicate airline patrons' intention formation for adopting eco-friendly electric airplanes. Our findings revealed that the proposed associations among research constructs were all significant, and that image, emotional attachment, attitude, and moral norms significantly mediated the effect of environmental corporate social responsibility on intention. In addition, the salient role of image of electric airplanes in building intention was uncovered. Despite the importance of greening airline products in the aviation industry, electric airplanes are a topic that has barely been explored. The results of this study can help airline practitioners and researchers to understand consumer readiness and willingness to adopt such eco-friendly alternatives to conventional air-flights. Implications are discussed.","author":[{"dropping-particle":"","family":"Han","given":"Heesup","non-dropping-particle":"","parse-names":false,"suffix":""},{"dropping-particle":"","family":"Lho","given":"Linda Heejung","non-dropping-particle":"","parse-names":false,"suffix":""},{"dropping-particle":"","family":"Al-Ansi","given":"Amr","non-dropping-particle":"","parse-names":false,"suffix":""},{"dropping-particle":"","family":"Ryu","given":"Hyungseo Bobby","non-dropping-particle":"","parse-names":false,"suffix":""},{"dropping-particle":"","family":"Park","given":"Jinah","non-dropping-particle":"","parse-names":false,"suffix":""},{"dropping-particle":"","family":"Kim","given":"Wansoo","non-dropping-particle":"","parse-names":false,"suffix":""}],"container-title":"Sustainability (Switzerland)","id":"ITEM-1","issue":"7","issued":{"date-parts":[["2019"]]},"page":"1-16","title":"Factors triggering customer willingness to travel on environmentally responsible electric airplanes","type":"article-journal","volume":"11"},"uris":["http://www.mendeley.com/documents/?uuid=2cb4fa00-eed9-4240-a429-e0df47ed938d"]}],"mendeley":{"formattedCitation":"(Han et al., 2019)","plainTextFormattedCitation":"(Han et al., 2019)","previouslyFormattedCitation":"(Han et al., 2019)"},"properties":{"noteIndex":0},"schema":"https://github.com/citation-style-language/schema/raw/master/csl-citation.json"}</w:instrText>
      </w:r>
      <w:r w:rsidR="00177705">
        <w:fldChar w:fldCharType="separate"/>
      </w:r>
      <w:r w:rsidR="00177705" w:rsidRPr="00177705">
        <w:rPr>
          <w:noProof/>
        </w:rPr>
        <w:t xml:space="preserve">(Han </w:t>
      </w:r>
      <w:r w:rsidR="00177705" w:rsidRPr="00177705">
        <w:rPr>
          <w:i/>
          <w:noProof/>
        </w:rPr>
        <w:t>et al.</w:t>
      </w:r>
      <w:r w:rsidR="00177705" w:rsidRPr="00177705">
        <w:rPr>
          <w:noProof/>
        </w:rPr>
        <w:t>, 2019)</w:t>
      </w:r>
      <w:r w:rsidR="00177705">
        <w:fldChar w:fldCharType="end"/>
      </w:r>
      <w:r w:rsidRPr="001A6C16">
        <w:t xml:space="preserve"> sebagai akibat dari PEN. </w:t>
      </w:r>
      <w:proofErr w:type="gramStart"/>
      <w:r w:rsidRPr="001A6C16">
        <w:t>Dengan demikian, penelitian ini berpendapat bahwa paparan kampanye hijau dan iklan dapat menjadi persuasif dalam mengkomunikasikan efek merugikan dari tindakan seseorang terhadap lingkungan</w:t>
      </w:r>
      <w:r w:rsidR="00177705">
        <w:t>.</w:t>
      </w:r>
      <w:proofErr w:type="gramEnd"/>
      <w:r w:rsidR="00177705">
        <w:t xml:space="preserve"> </w:t>
      </w:r>
    </w:p>
    <w:p w:rsidR="00E15768" w:rsidRPr="001A6C16" w:rsidRDefault="00E15768" w:rsidP="00E15768"/>
    <w:p w:rsidR="00E15768" w:rsidRPr="00177705" w:rsidRDefault="00E15768" w:rsidP="00E15768">
      <w:pPr>
        <w:rPr>
          <w:b/>
          <w:bCs/>
          <w:i/>
        </w:rPr>
      </w:pPr>
      <w:r w:rsidRPr="001A6C16">
        <w:rPr>
          <w:b/>
          <w:bCs/>
        </w:rPr>
        <w:t xml:space="preserve">H4: </w:t>
      </w:r>
      <w:r w:rsidRPr="00177705">
        <w:rPr>
          <w:b/>
          <w:bCs/>
          <w:i/>
        </w:rPr>
        <w:t>Environmental Environmental concern</w:t>
      </w:r>
      <w:r w:rsidRPr="001A6C16">
        <w:rPr>
          <w:b/>
          <w:bCs/>
        </w:rPr>
        <w:t xml:space="preserve"> memediasi </w:t>
      </w:r>
      <w:r w:rsidRPr="00177705">
        <w:rPr>
          <w:b/>
          <w:bCs/>
          <w:i/>
        </w:rPr>
        <w:t>Attribute of responsibility</w:t>
      </w:r>
      <w:r w:rsidRPr="001A6C16">
        <w:rPr>
          <w:b/>
          <w:bCs/>
        </w:rPr>
        <w:t xml:space="preserve"> dan </w:t>
      </w:r>
      <w:r w:rsidRPr="00177705">
        <w:rPr>
          <w:b/>
          <w:bCs/>
          <w:i/>
        </w:rPr>
        <w:t>pro env intension</w:t>
      </w:r>
    </w:p>
    <w:p w:rsidR="0032214B" w:rsidRPr="001A6C16" w:rsidRDefault="0032214B" w:rsidP="00E15768">
      <w:pPr>
        <w:rPr>
          <w:b/>
          <w:bCs/>
        </w:rPr>
      </w:pPr>
    </w:p>
    <w:p w:rsidR="00E15768" w:rsidRDefault="00E15768" w:rsidP="00E15768">
      <w:r w:rsidRPr="001A6C16">
        <w:t>Hasil penelitian ini sejalan dengan hasil penelitian Schelgemich dalam</w:t>
      </w:r>
      <w:r w:rsidR="00177705">
        <w:t xml:space="preserve">  </w:t>
      </w:r>
      <w:r w:rsidR="00177705">
        <w:fldChar w:fldCharType="begin" w:fldLock="1"/>
      </w:r>
      <w:r w:rsidR="00631405">
        <w:instrText>ADDIN CSL_CITATION {"citationItems":[{"id":"ITEM-1","itemData":{"DOI":"10.18415/ijmmu.v6i2.706","ISSN":"2364-5369","abstract":"This study aims to investigate relational relationship between Environmental Knowledge, Green Brand Image, Attitude towards green products, and Green Purchase Intention in increasing interest in buying environmentally friendly body care and cosmetic products. The analysis technique used is Quantitative Analysis. The research samples were students in State Universities in Manado, Indonesia who have the intention to buy The Body Shop products. The analysis tool used is Smart PLS. The findings of this study signify that Environmental Knowledge have no significant direct effect on consumers’ Green Purchase Intention. More important, Attitude is found to have a full mediation effect on the relationship of Environmental Knowledge and green Purchase Intention.","author":[{"dropping-particle":"","family":"Debora Indriani","given":"Ida Ayu","non-dropping-particle":"","parse-names":false,"suffix":""},{"dropping-particle":"","family":"Rahayu","given":"Mintarti","non-dropping-particle":"","parse-names":false,"suffix":""},{"dropping-particle":"","family":"Hadiwidjojo","given":"Djumilah","non-dropping-particle":"","parse-names":false,"suffix":""}],"container-title":"International Journal of Multicultural and Multireligious Understanding","id":"ITEM-1","issue":"2","issued":{"date-parts":[["2019"]]},"page":"627","title":"The Influence of Environmental Knowledge on Green Purchase Intention the Role of Attitude as Mediating Variable","type":"article-journal","volume":"6"},"uris":["http://www.mendeley.com/documents/?uuid=a2eb03b1-8ae7-4284-81aa-edf41631e083"]}],"mendeley":{"formattedCitation":"(Debora Indriani et al., 2019)","manualFormatting":"Debora Indriani et al., (2019)","plainTextFormattedCitation":"(Debora Indriani et al., 2019)","previouslyFormattedCitation":"(Debora Indriani et al., 2019)"},"properties":{"noteIndex":0},"schema":"https://github.com/citation-style-language/schema/raw/master/csl-citation.json"}</w:instrText>
      </w:r>
      <w:r w:rsidR="00177705">
        <w:fldChar w:fldCharType="separate"/>
      </w:r>
      <w:r w:rsidR="00177705" w:rsidRPr="00177705">
        <w:rPr>
          <w:noProof/>
        </w:rPr>
        <w:t xml:space="preserve">Debora Indriani </w:t>
      </w:r>
      <w:r w:rsidR="00177705" w:rsidRPr="00631405">
        <w:rPr>
          <w:i/>
          <w:noProof/>
        </w:rPr>
        <w:t>et al.,</w:t>
      </w:r>
      <w:r w:rsidR="00177705" w:rsidRPr="00177705">
        <w:rPr>
          <w:noProof/>
        </w:rPr>
        <w:t xml:space="preserve"> </w:t>
      </w:r>
      <w:r w:rsidR="00631405">
        <w:rPr>
          <w:noProof/>
        </w:rPr>
        <w:t>(</w:t>
      </w:r>
      <w:r w:rsidR="00177705" w:rsidRPr="00177705">
        <w:rPr>
          <w:noProof/>
        </w:rPr>
        <w:t>2019)</w:t>
      </w:r>
      <w:r w:rsidR="00177705">
        <w:fldChar w:fldCharType="end"/>
      </w:r>
      <w:r w:rsidRPr="001A6C16">
        <w:t xml:space="preserve"> yang menyatakan bahwa sikap menjadi faktor yang paling konsisten untuk memprediksikan perilaku pembelian yang sadar lingkungan . </w:t>
      </w:r>
      <w:proofErr w:type="gramStart"/>
      <w:r w:rsidRPr="001A6C16">
        <w:t>Sikap kesadaran lingkungan merepresentasikan perasaan suka maupun tidak suka dan merupakan dasar dalam memprediksi kesediaan konsumen untuk membeli produk – produk hijau (Chyong dalam Altinigne dan Wuhrer, 2015).</w:t>
      </w:r>
      <w:proofErr w:type="gramEnd"/>
      <w:r w:rsidRPr="001A6C16">
        <w:t xml:space="preserve"> </w:t>
      </w:r>
      <w:proofErr w:type="gramStart"/>
      <w:r w:rsidRPr="001A6C16">
        <w:t>Environmental concern atau kepedulian lingkungan merupakan representasi perasaan suka atau sikap sadar lingkungan.</w:t>
      </w:r>
      <w:proofErr w:type="gramEnd"/>
    </w:p>
    <w:p w:rsidR="0032214B" w:rsidRPr="001A6C16" w:rsidRDefault="0032214B" w:rsidP="00E15768"/>
    <w:p w:rsidR="00E15768" w:rsidRPr="001A6C16" w:rsidRDefault="00E15768" w:rsidP="00E15768">
      <w:pPr>
        <w:rPr>
          <w:b/>
          <w:bCs/>
        </w:rPr>
      </w:pPr>
      <w:r w:rsidRPr="001A6C16">
        <w:rPr>
          <w:b/>
          <w:bCs/>
        </w:rPr>
        <w:lastRenderedPageBreak/>
        <w:t xml:space="preserve">H5: </w:t>
      </w:r>
      <w:r w:rsidRPr="00631405">
        <w:rPr>
          <w:b/>
          <w:bCs/>
          <w:i/>
        </w:rPr>
        <w:t>Atribute of responsibility</w:t>
      </w:r>
      <w:r w:rsidRPr="001A6C16">
        <w:rPr>
          <w:b/>
          <w:bCs/>
        </w:rPr>
        <w:t xml:space="preserve"> dan </w:t>
      </w:r>
      <w:r w:rsidRPr="00631405">
        <w:rPr>
          <w:b/>
          <w:bCs/>
          <w:i/>
        </w:rPr>
        <w:t>Environmental concern</w:t>
      </w:r>
      <w:r w:rsidRPr="001A6C16">
        <w:rPr>
          <w:b/>
          <w:bCs/>
        </w:rPr>
        <w:t xml:space="preserve"> secara berurutan memediasi hubungan </w:t>
      </w:r>
      <w:r w:rsidRPr="00631405">
        <w:rPr>
          <w:b/>
          <w:bCs/>
          <w:i/>
        </w:rPr>
        <w:t>CA</w:t>
      </w:r>
      <w:r w:rsidRPr="001A6C16">
        <w:rPr>
          <w:b/>
          <w:bCs/>
        </w:rPr>
        <w:t xml:space="preserve"> dan </w:t>
      </w:r>
      <w:r w:rsidRPr="00631405">
        <w:rPr>
          <w:b/>
          <w:bCs/>
          <w:i/>
        </w:rPr>
        <w:t>Pro Env Intention</w:t>
      </w:r>
      <w:r w:rsidRPr="001A6C16">
        <w:rPr>
          <w:b/>
          <w:bCs/>
        </w:rPr>
        <w:t xml:space="preserve"> </w:t>
      </w:r>
    </w:p>
    <w:p w:rsidR="00C84C39" w:rsidRPr="00FC4C45" w:rsidRDefault="00C84C39" w:rsidP="00C84C39">
      <w:pPr>
        <w:pStyle w:val="BodyText"/>
        <w:ind w:right="330"/>
        <w:jc w:val="both"/>
      </w:pPr>
    </w:p>
    <w:p w:rsidR="00C84C39" w:rsidRPr="00FC4C45" w:rsidRDefault="00C84C39" w:rsidP="00C84C39">
      <w:pPr>
        <w:rPr>
          <w:b/>
        </w:rPr>
      </w:pPr>
      <w:r w:rsidRPr="00FC4C45">
        <w:rPr>
          <w:b/>
        </w:rPr>
        <w:t>RERANGKA KONSEPTUAL</w:t>
      </w:r>
    </w:p>
    <w:p w:rsidR="00C84C39" w:rsidRPr="00FC4C45" w:rsidRDefault="00C84C39" w:rsidP="00C84C39"/>
    <w:p w:rsidR="008B52C9" w:rsidRDefault="008B52C9" w:rsidP="00C84C39">
      <w:pPr>
        <w:rPr>
          <w:noProof/>
        </w:rPr>
      </w:pPr>
    </w:p>
    <w:p w:rsidR="00C84C39" w:rsidRDefault="008B52C9" w:rsidP="008B52C9">
      <w:pPr>
        <w:jc w:val="center"/>
      </w:pPr>
      <w:r>
        <w:rPr>
          <w:noProof/>
        </w:rPr>
        <w:drawing>
          <wp:inline distT="0" distB="0" distL="0" distR="0" wp14:anchorId="6C634CA7" wp14:editId="38809D1A">
            <wp:extent cx="2590800" cy="16446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8"/>
                    <a:srcRect l="37540" t="24905" r="18823" b="25850"/>
                    <a:stretch/>
                  </pic:blipFill>
                  <pic:spPr bwMode="auto">
                    <a:xfrm>
                      <a:off x="0" y="0"/>
                      <a:ext cx="2593571" cy="1646409"/>
                    </a:xfrm>
                    <a:prstGeom prst="rect">
                      <a:avLst/>
                    </a:prstGeom>
                    <a:ln>
                      <a:noFill/>
                    </a:ln>
                    <a:extLst>
                      <a:ext uri="{53640926-AAD7-44D8-BBD7-CCE9431645EC}">
                        <a14:shadowObscured xmlns:a14="http://schemas.microsoft.com/office/drawing/2010/main"/>
                      </a:ext>
                    </a:extLst>
                  </pic:spPr>
                </pic:pic>
              </a:graphicData>
            </a:graphic>
          </wp:inline>
        </w:drawing>
      </w:r>
    </w:p>
    <w:p w:rsidR="008B52C9" w:rsidRPr="00FC4C45" w:rsidRDefault="008B52C9" w:rsidP="00C84C39"/>
    <w:p w:rsidR="00C84C39" w:rsidRPr="00FC4C45" w:rsidRDefault="00C84C39" w:rsidP="00C84C39"/>
    <w:p w:rsidR="00C84C39" w:rsidRPr="00FC4C45" w:rsidRDefault="00C84C39" w:rsidP="00C84C39"/>
    <w:p w:rsidR="00C84C39" w:rsidRDefault="00C84C39" w:rsidP="00C84C39">
      <w:pPr>
        <w:jc w:val="center"/>
        <w:rPr>
          <w:noProof/>
        </w:rPr>
      </w:pPr>
      <w:r w:rsidRPr="00FC4C45">
        <w:rPr>
          <w:noProof/>
        </w:rPr>
        <w:t>Gambar 1. Rerangka Konseptual</w:t>
      </w:r>
    </w:p>
    <w:p w:rsidR="00631405" w:rsidRPr="00FC4C45" w:rsidRDefault="00631405" w:rsidP="00C84C39">
      <w:pPr>
        <w:jc w:val="center"/>
        <w:rPr>
          <w:noProof/>
        </w:rPr>
      </w:pPr>
      <w:r>
        <w:rPr>
          <w:noProof/>
        </w:rPr>
        <w:t xml:space="preserve">Sumber : </w:t>
      </w:r>
      <w:r>
        <w:rPr>
          <w:noProof/>
        </w:rPr>
        <w:fldChar w:fldCharType="begin" w:fldLock="1"/>
      </w:r>
      <w:r w:rsidR="0015149D">
        <w:rPr>
          <w:noProof/>
        </w:rPr>
        <w:instrText>ADDIN CSL_CITATION {"citationItems":[{"id":"ITEM-1","itemData":{"DOI":"10.1108/JCM-04-2021-4593","ISBN":"0420214593","ISSN":"07363761","abstract":"Purpose: Promoting sustainable behavior is an elusive task as it is not an innate and natural response of individuals. While a conducive environment that promotes sustainability arguably plays a prominent role in influencing individuals’ belief structure and norms, not much has been done to examine the interplay between environmental, personal and behavioral domains in sustainable consumption. Drawing on the theoretical perspectives of the social cognitive theory (SCT) and value–beliefs–norms (VBN), this study aims to contribute to the literature by proposing an integrated framework that examines sustainable consumption. Design/methodology/approach: This study uses a partial least squares structural equation modeling model based on 313 young consumer responses from an eco-friendly institution in Malaysia. Findings: The findings from this study advance sustainable literature by establishing the multidimensionality concept of the personal domain of SCT. Interestingly, an enabling environment that promotes sustainability was found to be more influential in determining young consumers’ beliefs and norms, as opposed to their competencies. This is demonstrated by the sequential mediation of attribution of responsibility and personal norms on the relationship between campus advertisements and pro-environmental behaviors. Originality/value: Previous research has investigated SCT and VBN as two separate streams of research in examining green behaviors. To the best of our knowledge, this is the first study that integrates SCT and VBN by examining the multidimensionality aspect of the personal construct to provide a more holistic perspective of examining sustainable behaviors.","author":[{"dropping-particle":"","family":"Jahari","given":"Siti Aqilah","non-dropping-particle":"","parse-names":false,"suffix":""},{"dropping-particle":"","family":"Hass","given":"Ashley","non-dropping-particle":"","parse-names":false,"suffix":""},{"dropping-particle":"","family":"Idris","given":"Izian Binti","non-dropping-particle":"","parse-names":false,"suffix":""},{"dropping-particle":"","family":"Joseph","given":"Mathew","non-dropping-particle":"","parse-names":false,"suffix":""}],"container-title":"Journal of Consumer Marketing","id":"ITEM-1","issue":"4","issued":{"date-parts":[["2022"]]},"page":"333-344","title":"An integrated framework examining sustainable green behavior among young consumers","type":"article-journal","volume":"39"},"uris":["http://www.mendeley.com/documents/?uuid=6477c8c3-fc64-4f66-9d56-ac46179305d4"]}],"mendeley":{"formattedCitation":"(Jahari et al., 2022)","plainTextFormattedCitation":"(Jahari et al., 2022)","previouslyFormattedCitation":"(Jahari et al., 2022)"},"properties":{"noteIndex":0},"schema":"https://github.com/citation-style-language/schema/raw/master/csl-citation.json"}</w:instrText>
      </w:r>
      <w:r>
        <w:rPr>
          <w:noProof/>
        </w:rPr>
        <w:fldChar w:fldCharType="separate"/>
      </w:r>
      <w:r w:rsidRPr="00631405">
        <w:rPr>
          <w:noProof/>
        </w:rPr>
        <w:t xml:space="preserve">(Jahari </w:t>
      </w:r>
      <w:r w:rsidRPr="00631405">
        <w:rPr>
          <w:i/>
          <w:noProof/>
        </w:rPr>
        <w:t>et al</w:t>
      </w:r>
      <w:r w:rsidRPr="00631405">
        <w:rPr>
          <w:noProof/>
        </w:rPr>
        <w:t>., 2022)</w:t>
      </w:r>
      <w:r>
        <w:rPr>
          <w:noProof/>
        </w:rPr>
        <w:fldChar w:fldCharType="end"/>
      </w:r>
    </w:p>
    <w:p w:rsidR="008B52C9" w:rsidRDefault="008B52C9" w:rsidP="00C84C39">
      <w:pPr>
        <w:rPr>
          <w:b/>
          <w:noProof/>
        </w:rPr>
      </w:pPr>
    </w:p>
    <w:p w:rsidR="008B52C9" w:rsidRDefault="008B52C9" w:rsidP="00C84C39">
      <w:pPr>
        <w:rPr>
          <w:b/>
          <w:noProof/>
        </w:rPr>
      </w:pPr>
    </w:p>
    <w:p w:rsidR="008B52C9" w:rsidRDefault="008B52C9" w:rsidP="00C84C39">
      <w:pPr>
        <w:rPr>
          <w:b/>
          <w:noProof/>
        </w:rPr>
      </w:pPr>
    </w:p>
    <w:p w:rsidR="008B52C9" w:rsidRDefault="008B52C9" w:rsidP="00C84C39">
      <w:pPr>
        <w:rPr>
          <w:b/>
          <w:noProof/>
        </w:rPr>
      </w:pPr>
    </w:p>
    <w:p w:rsidR="00C84C39" w:rsidRDefault="00C84C39" w:rsidP="00C84C39">
      <w:pPr>
        <w:rPr>
          <w:b/>
          <w:noProof/>
        </w:rPr>
      </w:pPr>
      <w:r w:rsidRPr="00FC4C45">
        <w:rPr>
          <w:b/>
          <w:noProof/>
        </w:rPr>
        <w:t xml:space="preserve">METODE PENELITIAN </w:t>
      </w:r>
    </w:p>
    <w:p w:rsidR="00631405" w:rsidRPr="00FC4C45" w:rsidRDefault="00631405" w:rsidP="00C84C39">
      <w:pPr>
        <w:rPr>
          <w:b/>
          <w:noProof/>
        </w:rPr>
      </w:pPr>
    </w:p>
    <w:p w:rsidR="00C84C39" w:rsidRPr="00FC4C45" w:rsidRDefault="00C84C39" w:rsidP="00C84C39">
      <w:pPr>
        <w:ind w:firstLine="720"/>
      </w:pPr>
      <w:proofErr w:type="gramStart"/>
      <w:r w:rsidRPr="00FC4C45">
        <w:t>Penelitian ini menggunakan pendekatan deskriptif kuantitatif.</w:t>
      </w:r>
      <w:proofErr w:type="gramEnd"/>
      <w:r w:rsidRPr="00FC4C45">
        <w:t xml:space="preserve"> </w:t>
      </w:r>
      <w:proofErr w:type="gramStart"/>
      <w:r w:rsidRPr="00FC4C45">
        <w:t xml:space="preserve">Penelitian ini menggunakan data primer yaitu pengumpulan data secara langsung melalui penyebaran kuesioner kepada responden dengan menggunakan </w:t>
      </w:r>
      <w:r w:rsidRPr="00FC4C45">
        <w:rPr>
          <w:i/>
        </w:rPr>
        <w:t>Google form</w:t>
      </w:r>
      <w:r w:rsidRPr="00FC4C45">
        <w:t>.</w:t>
      </w:r>
      <w:proofErr w:type="gramEnd"/>
      <w:r w:rsidRPr="00FC4C45">
        <w:t xml:space="preserve"> Metode pengumpulan data yang digunakan dalam penelitian ini adalah metode </w:t>
      </w:r>
      <w:r w:rsidRPr="00FC4C45">
        <w:rPr>
          <w:i/>
        </w:rPr>
        <w:t>non-probability sampling</w:t>
      </w:r>
      <w:r w:rsidRPr="00FC4C45">
        <w:t xml:space="preserve"> dengan teknik </w:t>
      </w:r>
      <w:r w:rsidRPr="00FC4C45">
        <w:rPr>
          <w:i/>
        </w:rPr>
        <w:t>purposive sampling</w:t>
      </w:r>
      <w:r w:rsidRPr="00FC4C45">
        <w:t xml:space="preserve"> yaitu pengambilan sampel berdasarkan kriteria tertentu</w:t>
      </w:r>
      <w:r w:rsidRPr="00FC4C45">
        <w:fldChar w:fldCharType="begin" w:fldLock="1"/>
      </w:r>
      <w:r w:rsidRPr="00FC4C45">
        <w:instrText>ADDIN CSL_CITATION {"citationItems":[{"id":"ITEM-1","itemData":{"abstract":"Seventh edition. Research Methods for Business: A Skill-Building Approach is a concise and straightforward introduction for students to the world of business research. The skill-building approach provides students with practical perspectives on how research can be applied in real business situations. Introduction to research -- The scientific approach and alternative approaches to investigation -- Defining and refining the problem -- The critical literature review -- Theoretical framework and hypothesis development -- Elements of research design -- Interviews -- Data collection methods : observation -- Administering questionnaires -- Experimental designs -- Measurement variables : operational definition -- Measurement : scaling, reliability and validity -- Sampling -- Quantitative data analysis -- Quantitative data analysis : hypothesis testing -- Qualitative data analysis -- The research report.","author":[{"dropping-particle":"","family":"Sekaran","given":"Bougie","non-dropping-particle":"","parse-names":false,"suffix":""}],"id":"ITEM-1","issued":{"date-parts":[["2016"]]},"title":"An easy way to help students learn, collaborate, and grow","type":"article-journal"},"uris":["http://www.mendeley.com/documents/?uuid=5fa68c88-b71b-47d9-a1ae-737e351dd236"]}],"mendeley":{"formattedCitation":"(Sekaran, 2016)","manualFormatting":"(Sekaran &amp; Bougie, 2016)","plainTextFormattedCitation":"(Sekaran, 2016)","previouslyFormattedCitation":"(Sekaran, 2016)"},"properties":{"noteIndex":0},"schema":"https://github.com/citation-style-language/schema/raw/master/csl-citation.json"}</w:instrText>
      </w:r>
      <w:r w:rsidRPr="00FC4C45">
        <w:fldChar w:fldCharType="separate"/>
      </w:r>
      <w:r w:rsidRPr="00FC4C45">
        <w:rPr>
          <w:noProof/>
        </w:rPr>
        <w:t>(Sekaran &amp; Bougie, 2016)</w:t>
      </w:r>
      <w:r w:rsidRPr="00FC4C45">
        <w:fldChar w:fldCharType="end"/>
      </w:r>
      <w:r w:rsidRPr="00FC4C45">
        <w:t xml:space="preserve">. </w:t>
      </w:r>
      <w:r w:rsidR="008B52C9" w:rsidRPr="00C6067A">
        <w:rPr>
          <w:szCs w:val="23"/>
        </w:rPr>
        <w:t>Karakteristik sampel dalam penelitian adalah mahasiswa berusia di atas 18 tahun, yang diasumsikan telah cukup mendapatkan pengetahuan mengenai lingkungan, partisipasinya nya terdiri dari konsumen yang pernah menggunakan produk ramah lingkungan</w:t>
      </w:r>
      <w:r w:rsidRPr="00FC4C45">
        <w:t xml:space="preserve">. </w:t>
      </w:r>
      <w:proofErr w:type="gramStart"/>
      <w:r w:rsidRPr="00FC4C45">
        <w:t xml:space="preserve">Penelitian ini </w:t>
      </w:r>
      <w:r w:rsidR="008B52C9">
        <w:t>menggunakan s</w:t>
      </w:r>
      <w:r w:rsidR="008B52C9" w:rsidRPr="00C6067A">
        <w:rPr>
          <w:szCs w:val="23"/>
        </w:rPr>
        <w:t xml:space="preserve">ampel yang dikumpulkan </w:t>
      </w:r>
      <w:r w:rsidR="008B52C9">
        <w:rPr>
          <w:szCs w:val="23"/>
        </w:rPr>
        <w:t>yaitu</w:t>
      </w:r>
      <w:r w:rsidR="008B52C9" w:rsidRPr="00C6067A">
        <w:rPr>
          <w:szCs w:val="23"/>
        </w:rPr>
        <w:t xml:space="preserve"> sejumlah 140 responden.</w:t>
      </w:r>
      <w:proofErr w:type="gramEnd"/>
    </w:p>
    <w:p w:rsidR="00C84C39" w:rsidRPr="00FC4C45" w:rsidRDefault="00C84C39" w:rsidP="00C84C39">
      <w:pPr>
        <w:ind w:firstLine="720"/>
      </w:pPr>
      <w:r w:rsidRPr="00FC4C45">
        <w:t xml:space="preserve">Penelitian ini menguji hubungan </w:t>
      </w:r>
      <w:r w:rsidR="008B52C9">
        <w:t>lima</w:t>
      </w:r>
      <w:r w:rsidRPr="00FC4C45">
        <w:t xml:space="preserve"> variabel </w:t>
      </w:r>
      <w:r w:rsidR="008B52C9" w:rsidRPr="00C6067A">
        <w:rPr>
          <w:i/>
          <w:szCs w:val="24"/>
        </w:rPr>
        <w:t>Attribute of responsibility</w:t>
      </w:r>
      <w:r w:rsidR="008B52C9" w:rsidRPr="00C6067A">
        <w:rPr>
          <w:szCs w:val="24"/>
        </w:rPr>
        <w:t xml:space="preserve"> yang memiliki 3 indikator, </w:t>
      </w:r>
      <w:r w:rsidR="008B52C9" w:rsidRPr="00C6067A">
        <w:rPr>
          <w:i/>
          <w:szCs w:val="24"/>
        </w:rPr>
        <w:t>Campus advertisement</w:t>
      </w:r>
      <w:r w:rsidR="008B52C9" w:rsidRPr="00C6067A">
        <w:rPr>
          <w:szCs w:val="24"/>
        </w:rPr>
        <w:t xml:space="preserve"> yang memiliki 5 indikator, </w:t>
      </w:r>
      <w:r w:rsidR="008B52C9" w:rsidRPr="00C6067A">
        <w:rPr>
          <w:i/>
          <w:szCs w:val="24"/>
        </w:rPr>
        <w:t>Pro– env intention</w:t>
      </w:r>
      <w:r w:rsidR="008B52C9" w:rsidRPr="00C6067A">
        <w:rPr>
          <w:szCs w:val="24"/>
        </w:rPr>
        <w:t xml:space="preserve"> yang memiliki 6 indikator, </w:t>
      </w:r>
      <w:r w:rsidR="008B52C9" w:rsidRPr="00C6067A">
        <w:rPr>
          <w:i/>
          <w:szCs w:val="24"/>
        </w:rPr>
        <w:t>Self efeciency</w:t>
      </w:r>
      <w:r w:rsidR="008B52C9" w:rsidRPr="00C6067A">
        <w:rPr>
          <w:szCs w:val="24"/>
        </w:rPr>
        <w:t xml:space="preserve"> yang memiliki 9 indikator, </w:t>
      </w:r>
      <w:r w:rsidR="008B52C9" w:rsidRPr="00C6067A">
        <w:rPr>
          <w:i/>
          <w:szCs w:val="24"/>
        </w:rPr>
        <w:t>Environmental concern</w:t>
      </w:r>
      <w:r w:rsidR="008B52C9" w:rsidRPr="00C6067A">
        <w:rPr>
          <w:szCs w:val="24"/>
        </w:rPr>
        <w:t xml:space="preserve"> yang memiliki 4 indikator, total indica</w:t>
      </w:r>
      <w:r w:rsidR="008B52C9">
        <w:rPr>
          <w:szCs w:val="24"/>
        </w:rPr>
        <w:t xml:space="preserve">tor yang di gunakan sebanyak 27. </w:t>
      </w:r>
      <w:proofErr w:type="gramStart"/>
      <w:r w:rsidRPr="00FC4C45">
        <w:t>Skala Likert dari 1 (sangat tidak setuju) sampai 5 (sangat setuju) untuk menyatakan persetujuan responden terhadap pernyataan yang diterapkan dalam penelitian ini.</w:t>
      </w:r>
      <w:proofErr w:type="gramEnd"/>
      <w:r w:rsidRPr="00FC4C45">
        <w:t xml:space="preserve"> </w:t>
      </w:r>
    </w:p>
    <w:p w:rsidR="00C84C39" w:rsidRDefault="00C84C39" w:rsidP="00C84C39">
      <w:pPr>
        <w:ind w:firstLine="720"/>
      </w:pPr>
      <w:proofErr w:type="gramStart"/>
      <w:r w:rsidRPr="00FC4C45">
        <w:t>Uji instrumen yang digunakan dalam penelitian ini adalah uji validitas dan uji reliabilitas.</w:t>
      </w:r>
      <w:proofErr w:type="gramEnd"/>
      <w:r w:rsidRPr="00FC4C45">
        <w:t xml:space="preserve"> </w:t>
      </w:r>
      <w:proofErr w:type="gramStart"/>
      <w:r w:rsidRPr="00FC4C45">
        <w:t xml:space="preserve">Dalam penelitian ini alat analisis data yang digunakan adalah </w:t>
      </w:r>
      <w:r w:rsidRPr="00FC4C45">
        <w:rPr>
          <w:i/>
        </w:rPr>
        <w:t>Structural Equation Model</w:t>
      </w:r>
      <w:r w:rsidRPr="00FC4C45">
        <w:t xml:space="preserve"> (SEM) yang dijalankan dengan </w:t>
      </w:r>
      <w:r w:rsidRPr="00FC4C45">
        <w:rPr>
          <w:i/>
        </w:rPr>
        <w:t>software</w:t>
      </w:r>
      <w:r w:rsidRPr="00FC4C45">
        <w:t xml:space="preserve"> SPSS.</w:t>
      </w:r>
      <w:proofErr w:type="gramEnd"/>
      <w:r w:rsidRPr="00FC4C45">
        <w:t xml:space="preserve"> </w:t>
      </w:r>
      <w:proofErr w:type="gramStart"/>
      <w:r w:rsidRPr="00FC4C45">
        <w:rPr>
          <w:i/>
        </w:rPr>
        <w:t>Structural Equation Model</w:t>
      </w:r>
      <w:r w:rsidRPr="00FC4C45">
        <w:t xml:space="preserve"> (SEM) dianggap tepat karena jumlah variabel yang diteliti dalam penelitian ini banyak dan berbentuk kerangka konseptual berjenjang sehingga lebih efektif jika menggunakan SEM. Data dalam penelitian ini dianalisis dengan menggunakan SPSS versi 25.</w:t>
      </w:r>
      <w:proofErr w:type="gramEnd"/>
      <w:r w:rsidRPr="00FC4C45">
        <w:t xml:space="preserve"> </w:t>
      </w:r>
    </w:p>
    <w:p w:rsidR="008B52C9" w:rsidRPr="00FC4C45" w:rsidRDefault="008B52C9" w:rsidP="00C84C39">
      <w:pPr>
        <w:ind w:firstLine="720"/>
      </w:pPr>
    </w:p>
    <w:p w:rsidR="00631405" w:rsidRDefault="00631405" w:rsidP="00C84C39">
      <w:pPr>
        <w:jc w:val="center"/>
        <w:rPr>
          <w:b/>
          <w:shd w:val="clear" w:color="auto" w:fill="FFFFFF"/>
        </w:rPr>
      </w:pPr>
    </w:p>
    <w:p w:rsidR="00631405" w:rsidRDefault="00631405" w:rsidP="00C84C39">
      <w:pPr>
        <w:jc w:val="center"/>
        <w:rPr>
          <w:b/>
          <w:shd w:val="clear" w:color="auto" w:fill="FFFFFF"/>
        </w:rPr>
      </w:pPr>
    </w:p>
    <w:p w:rsidR="00631405" w:rsidRDefault="00631405" w:rsidP="00C84C39">
      <w:pPr>
        <w:jc w:val="center"/>
        <w:rPr>
          <w:b/>
          <w:shd w:val="clear" w:color="auto" w:fill="FFFFFF"/>
        </w:rPr>
      </w:pPr>
    </w:p>
    <w:p w:rsidR="00C84C39" w:rsidRPr="00FC4C45" w:rsidRDefault="00C84C39" w:rsidP="00C84C39">
      <w:pPr>
        <w:jc w:val="center"/>
        <w:rPr>
          <w:b/>
          <w:shd w:val="clear" w:color="auto" w:fill="FFFFFF"/>
        </w:rPr>
      </w:pPr>
      <w:proofErr w:type="gramStart"/>
      <w:r w:rsidRPr="00FC4C45">
        <w:rPr>
          <w:b/>
          <w:shd w:val="clear" w:color="auto" w:fill="FFFFFF"/>
        </w:rPr>
        <w:lastRenderedPageBreak/>
        <w:t>Tabel 1.</w:t>
      </w:r>
      <w:proofErr w:type="gramEnd"/>
    </w:p>
    <w:p w:rsidR="00C84C39" w:rsidRPr="00FC4C45" w:rsidRDefault="00C84C39" w:rsidP="00C84C39">
      <w:pPr>
        <w:jc w:val="center"/>
        <w:rPr>
          <w:b/>
          <w:shd w:val="clear" w:color="auto" w:fill="FFFFFF"/>
        </w:rPr>
      </w:pPr>
      <w:r w:rsidRPr="00FC4C45">
        <w:rPr>
          <w:b/>
          <w:shd w:val="clear" w:color="auto" w:fill="FFFFFF"/>
        </w:rPr>
        <w:t>DISTRIBUSI PROFIL RESPONDEN PENELITIAN</w:t>
      </w:r>
    </w:p>
    <w:tbl>
      <w:tblPr>
        <w:tblpPr w:leftFromText="180" w:rightFromText="180" w:vertAnchor="text" w:horzAnchor="margin" w:tblpXSpec="center" w:tblpY="181"/>
        <w:tblW w:w="0" w:type="auto"/>
        <w:tblBorders>
          <w:top w:val="single" w:sz="8" w:space="0" w:color="000000"/>
          <w:bottom w:val="single" w:sz="8" w:space="0" w:color="000000"/>
        </w:tblBorders>
        <w:shd w:val="clear" w:color="auto" w:fill="FFFFFF"/>
        <w:tblLook w:val="04A0" w:firstRow="1" w:lastRow="0" w:firstColumn="1" w:lastColumn="0" w:noHBand="0" w:noVBand="1"/>
      </w:tblPr>
      <w:tblGrid>
        <w:gridCol w:w="2409"/>
        <w:gridCol w:w="1496"/>
      </w:tblGrid>
      <w:tr w:rsidR="00C84C39" w:rsidRPr="00FC4C45" w:rsidTr="00631405">
        <w:trPr>
          <w:trHeight w:val="155"/>
        </w:trPr>
        <w:tc>
          <w:tcPr>
            <w:tcW w:w="2409" w:type="dxa"/>
            <w:tcBorders>
              <w:top w:val="single" w:sz="8" w:space="0" w:color="000000"/>
              <w:left w:val="nil"/>
              <w:bottom w:val="single" w:sz="8" w:space="0" w:color="000000"/>
              <w:right w:val="nil"/>
            </w:tcBorders>
            <w:shd w:val="clear" w:color="auto" w:fill="FFFFFF"/>
          </w:tcPr>
          <w:p w:rsidR="00C84C39" w:rsidRPr="00FC4C45" w:rsidRDefault="00C84C39" w:rsidP="0015149D">
            <w:pPr>
              <w:jc w:val="center"/>
              <w:rPr>
                <w:bCs/>
                <w:color w:val="000000"/>
              </w:rPr>
            </w:pPr>
          </w:p>
        </w:tc>
        <w:tc>
          <w:tcPr>
            <w:tcW w:w="1496" w:type="dxa"/>
            <w:tcBorders>
              <w:top w:val="single" w:sz="8" w:space="0" w:color="000000"/>
              <w:left w:val="nil"/>
              <w:bottom w:val="single" w:sz="8" w:space="0" w:color="000000"/>
              <w:right w:val="nil"/>
            </w:tcBorders>
            <w:shd w:val="clear" w:color="auto" w:fill="FFFFFF"/>
            <w:hideMark/>
          </w:tcPr>
          <w:p w:rsidR="00C84C39" w:rsidRPr="00FC4C45" w:rsidRDefault="00C84C39" w:rsidP="0015149D">
            <w:pPr>
              <w:jc w:val="center"/>
              <w:rPr>
                <w:b/>
                <w:bCs/>
                <w:color w:val="000000"/>
              </w:rPr>
            </w:pPr>
            <w:r w:rsidRPr="00FC4C45">
              <w:rPr>
                <w:b/>
                <w:bCs/>
                <w:color w:val="000000"/>
              </w:rPr>
              <w:t>Frekuensi</w:t>
            </w:r>
          </w:p>
        </w:tc>
      </w:tr>
      <w:tr w:rsidR="00C84C39" w:rsidRPr="00FC4C45" w:rsidTr="00631405">
        <w:trPr>
          <w:trHeight w:val="965"/>
        </w:trPr>
        <w:tc>
          <w:tcPr>
            <w:tcW w:w="2409" w:type="dxa"/>
            <w:tcBorders>
              <w:top w:val="nil"/>
              <w:left w:val="nil"/>
              <w:bottom w:val="nil"/>
              <w:right w:val="nil"/>
            </w:tcBorders>
            <w:shd w:val="clear" w:color="auto" w:fill="FFFFFF"/>
            <w:hideMark/>
          </w:tcPr>
          <w:p w:rsidR="00C84C39" w:rsidRPr="00FC4C45" w:rsidRDefault="00C84C39" w:rsidP="0015149D">
            <w:pPr>
              <w:rPr>
                <w:b/>
                <w:bCs/>
                <w:color w:val="000000"/>
                <w:u w:val="single"/>
              </w:rPr>
            </w:pPr>
            <w:r w:rsidRPr="00FC4C45">
              <w:rPr>
                <w:b/>
                <w:bCs/>
                <w:color w:val="000000"/>
                <w:u w:val="single"/>
              </w:rPr>
              <w:t>Jenis Kelamin</w:t>
            </w:r>
          </w:p>
          <w:p w:rsidR="00C84C39" w:rsidRPr="00FC4C45" w:rsidRDefault="00C84C39" w:rsidP="0015149D">
            <w:pPr>
              <w:rPr>
                <w:bCs/>
                <w:color w:val="000000"/>
              </w:rPr>
            </w:pPr>
            <w:r w:rsidRPr="00FC4C45">
              <w:rPr>
                <w:bCs/>
                <w:color w:val="000000"/>
              </w:rPr>
              <w:t>Laki-Laki</w:t>
            </w:r>
          </w:p>
          <w:p w:rsidR="00C84C39" w:rsidRPr="00FC4C45" w:rsidRDefault="00C84C39" w:rsidP="0015149D">
            <w:pPr>
              <w:rPr>
                <w:b/>
                <w:bCs/>
                <w:color w:val="000000"/>
              </w:rPr>
            </w:pPr>
            <w:r w:rsidRPr="00FC4C45">
              <w:rPr>
                <w:bCs/>
                <w:color w:val="000000"/>
              </w:rPr>
              <w:t>Perempuan</w:t>
            </w:r>
            <w:r w:rsidRPr="00FC4C45">
              <w:rPr>
                <w:b/>
                <w:bCs/>
                <w:color w:val="000000"/>
              </w:rPr>
              <w:t xml:space="preserve"> </w:t>
            </w:r>
          </w:p>
        </w:tc>
        <w:tc>
          <w:tcPr>
            <w:tcW w:w="1496" w:type="dxa"/>
            <w:tcBorders>
              <w:top w:val="nil"/>
              <w:left w:val="nil"/>
              <w:bottom w:val="nil"/>
              <w:right w:val="nil"/>
            </w:tcBorders>
            <w:shd w:val="clear" w:color="auto" w:fill="FFFFFF"/>
          </w:tcPr>
          <w:p w:rsidR="00C84C39" w:rsidRPr="00FC4C45" w:rsidRDefault="00C84C39" w:rsidP="0015149D">
            <w:pPr>
              <w:tabs>
                <w:tab w:val="left" w:pos="1280"/>
              </w:tabs>
              <w:rPr>
                <w:b/>
                <w:color w:val="000000"/>
              </w:rPr>
            </w:pPr>
            <w:r w:rsidRPr="00FC4C45">
              <w:rPr>
                <w:b/>
                <w:color w:val="000000"/>
              </w:rPr>
              <w:tab/>
            </w:r>
          </w:p>
          <w:p w:rsidR="00C84C39" w:rsidRPr="00FC4C45" w:rsidRDefault="00631405" w:rsidP="0015149D">
            <w:pPr>
              <w:jc w:val="center"/>
              <w:rPr>
                <w:color w:val="000000"/>
              </w:rPr>
            </w:pPr>
            <w:r>
              <w:rPr>
                <w:color w:val="000000"/>
              </w:rPr>
              <w:t>85</w:t>
            </w:r>
          </w:p>
          <w:p w:rsidR="00C84C39" w:rsidRPr="00FC4C45" w:rsidRDefault="00631405" w:rsidP="0015149D">
            <w:pPr>
              <w:jc w:val="center"/>
              <w:rPr>
                <w:color w:val="000000"/>
              </w:rPr>
            </w:pPr>
            <w:r>
              <w:rPr>
                <w:color w:val="000000"/>
              </w:rPr>
              <w:t>55</w:t>
            </w:r>
          </w:p>
        </w:tc>
      </w:tr>
      <w:tr w:rsidR="00C84C39" w:rsidRPr="00FC4C45" w:rsidTr="00631405">
        <w:trPr>
          <w:trHeight w:val="1086"/>
        </w:trPr>
        <w:tc>
          <w:tcPr>
            <w:tcW w:w="2409" w:type="dxa"/>
            <w:tcBorders>
              <w:top w:val="nil"/>
              <w:left w:val="nil"/>
              <w:bottom w:val="nil"/>
              <w:right w:val="nil"/>
            </w:tcBorders>
            <w:shd w:val="clear" w:color="auto" w:fill="FFFFFF"/>
          </w:tcPr>
          <w:p w:rsidR="00C84C39" w:rsidRPr="00FC4C45" w:rsidRDefault="00C84C39" w:rsidP="0015149D">
            <w:pPr>
              <w:rPr>
                <w:b/>
                <w:bCs/>
                <w:color w:val="000000"/>
                <w:u w:val="single"/>
              </w:rPr>
            </w:pPr>
            <w:r w:rsidRPr="00FC4C45">
              <w:rPr>
                <w:b/>
                <w:bCs/>
                <w:color w:val="000000"/>
                <w:u w:val="single"/>
              </w:rPr>
              <w:t xml:space="preserve">Usia </w:t>
            </w:r>
          </w:p>
          <w:p w:rsidR="00C84C39" w:rsidRPr="00FC4C45" w:rsidRDefault="00631405" w:rsidP="0015149D">
            <w:pPr>
              <w:rPr>
                <w:bCs/>
                <w:color w:val="000000"/>
              </w:rPr>
            </w:pPr>
            <w:r>
              <w:rPr>
                <w:bCs/>
                <w:color w:val="000000"/>
              </w:rPr>
              <w:t>17-20</w:t>
            </w:r>
            <w:r w:rsidR="00C84C39" w:rsidRPr="00FC4C45">
              <w:rPr>
                <w:bCs/>
                <w:color w:val="000000"/>
              </w:rPr>
              <w:t xml:space="preserve"> tahun</w:t>
            </w:r>
          </w:p>
          <w:p w:rsidR="00C84C39" w:rsidRPr="00FC4C45" w:rsidRDefault="00631405" w:rsidP="0015149D">
            <w:pPr>
              <w:rPr>
                <w:bCs/>
                <w:color w:val="000000"/>
              </w:rPr>
            </w:pPr>
            <w:r>
              <w:rPr>
                <w:bCs/>
                <w:color w:val="000000"/>
              </w:rPr>
              <w:t>21-30</w:t>
            </w:r>
            <w:r w:rsidR="00C84C39" w:rsidRPr="00FC4C45">
              <w:rPr>
                <w:bCs/>
                <w:color w:val="000000"/>
              </w:rPr>
              <w:t xml:space="preserve"> tahun</w:t>
            </w:r>
          </w:p>
          <w:p w:rsidR="00C84C39" w:rsidRPr="00FC4C45" w:rsidRDefault="00631405" w:rsidP="0015149D">
            <w:pPr>
              <w:rPr>
                <w:bCs/>
                <w:color w:val="000000"/>
              </w:rPr>
            </w:pPr>
            <w:r>
              <w:rPr>
                <w:bCs/>
                <w:color w:val="000000"/>
              </w:rPr>
              <w:t>31-40</w:t>
            </w:r>
            <w:r w:rsidR="00C84C39" w:rsidRPr="00FC4C45">
              <w:rPr>
                <w:bCs/>
                <w:color w:val="000000"/>
              </w:rPr>
              <w:t xml:space="preserve"> tahun</w:t>
            </w:r>
          </w:p>
        </w:tc>
        <w:tc>
          <w:tcPr>
            <w:tcW w:w="1496" w:type="dxa"/>
            <w:tcBorders>
              <w:top w:val="nil"/>
              <w:left w:val="nil"/>
              <w:bottom w:val="nil"/>
              <w:right w:val="nil"/>
            </w:tcBorders>
            <w:shd w:val="clear" w:color="auto" w:fill="FFFFFF"/>
          </w:tcPr>
          <w:p w:rsidR="00C84C39" w:rsidRPr="00FC4C45" w:rsidRDefault="00C84C39" w:rsidP="0015149D">
            <w:pPr>
              <w:rPr>
                <w:b/>
                <w:color w:val="000000"/>
              </w:rPr>
            </w:pPr>
          </w:p>
          <w:p w:rsidR="00C84C39" w:rsidRPr="00FC4C45" w:rsidRDefault="00C84C39" w:rsidP="0015149D">
            <w:pPr>
              <w:jc w:val="center"/>
              <w:rPr>
                <w:color w:val="000000"/>
              </w:rPr>
            </w:pPr>
            <w:r w:rsidRPr="00FC4C45">
              <w:rPr>
                <w:color w:val="000000"/>
              </w:rPr>
              <w:t>2</w:t>
            </w:r>
            <w:r w:rsidR="00631405">
              <w:rPr>
                <w:color w:val="000000"/>
              </w:rPr>
              <w:t>3</w:t>
            </w:r>
          </w:p>
          <w:p w:rsidR="00C84C39" w:rsidRPr="00FC4C45" w:rsidRDefault="00631405" w:rsidP="0015149D">
            <w:pPr>
              <w:jc w:val="center"/>
              <w:rPr>
                <w:color w:val="000000"/>
              </w:rPr>
            </w:pPr>
            <w:r>
              <w:rPr>
                <w:color w:val="000000"/>
              </w:rPr>
              <w:t>97</w:t>
            </w:r>
          </w:p>
          <w:p w:rsidR="00C84C39" w:rsidRPr="00FC4C45" w:rsidRDefault="00631405" w:rsidP="0015149D">
            <w:pPr>
              <w:jc w:val="center"/>
              <w:rPr>
                <w:color w:val="000000"/>
              </w:rPr>
            </w:pPr>
            <w:r>
              <w:rPr>
                <w:color w:val="000000"/>
              </w:rPr>
              <w:t>20</w:t>
            </w:r>
          </w:p>
          <w:p w:rsidR="00C84C39" w:rsidRPr="00FC4C45" w:rsidRDefault="00C84C39" w:rsidP="0015149D">
            <w:pPr>
              <w:jc w:val="center"/>
              <w:rPr>
                <w:color w:val="000000"/>
              </w:rPr>
            </w:pPr>
          </w:p>
        </w:tc>
      </w:tr>
      <w:tr w:rsidR="00C84C39" w:rsidRPr="00FC4C45" w:rsidTr="00631405">
        <w:trPr>
          <w:trHeight w:val="1552"/>
        </w:trPr>
        <w:tc>
          <w:tcPr>
            <w:tcW w:w="2409" w:type="dxa"/>
            <w:tcBorders>
              <w:top w:val="nil"/>
              <w:left w:val="nil"/>
              <w:bottom w:val="nil"/>
              <w:right w:val="nil"/>
            </w:tcBorders>
            <w:shd w:val="clear" w:color="auto" w:fill="FFFFFF"/>
            <w:hideMark/>
          </w:tcPr>
          <w:p w:rsidR="00C84C39" w:rsidRPr="00FC4C45" w:rsidRDefault="00631405" w:rsidP="0015149D">
            <w:pPr>
              <w:rPr>
                <w:b/>
                <w:bCs/>
                <w:color w:val="000000"/>
                <w:u w:val="single"/>
              </w:rPr>
            </w:pPr>
            <w:r>
              <w:rPr>
                <w:b/>
                <w:bCs/>
                <w:color w:val="000000"/>
                <w:u w:val="single"/>
              </w:rPr>
              <w:t xml:space="preserve">Pekerjaan </w:t>
            </w:r>
          </w:p>
          <w:p w:rsidR="00C84C39" w:rsidRPr="00FC4C45" w:rsidRDefault="00631405" w:rsidP="0015149D">
            <w:pPr>
              <w:rPr>
                <w:bCs/>
                <w:color w:val="000000"/>
              </w:rPr>
            </w:pPr>
            <w:r>
              <w:rPr>
                <w:bCs/>
                <w:color w:val="000000"/>
              </w:rPr>
              <w:t>Mahasiswa/Pelajar</w:t>
            </w:r>
          </w:p>
          <w:p w:rsidR="00C84C39" w:rsidRPr="00FC4C45" w:rsidRDefault="00631405" w:rsidP="0015149D">
            <w:pPr>
              <w:rPr>
                <w:bCs/>
                <w:color w:val="000000"/>
              </w:rPr>
            </w:pPr>
            <w:r>
              <w:rPr>
                <w:bCs/>
                <w:color w:val="000000"/>
              </w:rPr>
              <w:t>Wirausaha</w:t>
            </w:r>
          </w:p>
          <w:p w:rsidR="00C84C39" w:rsidRPr="00FC4C45" w:rsidRDefault="00631405" w:rsidP="0015149D">
            <w:pPr>
              <w:rPr>
                <w:bCs/>
                <w:color w:val="000000"/>
              </w:rPr>
            </w:pPr>
            <w:r>
              <w:rPr>
                <w:bCs/>
                <w:color w:val="000000"/>
              </w:rPr>
              <w:t>Karyawan Swasta</w:t>
            </w:r>
          </w:p>
          <w:p w:rsidR="00C84C39" w:rsidRPr="00FC4C45" w:rsidRDefault="00631405" w:rsidP="0015149D">
            <w:pPr>
              <w:rPr>
                <w:bCs/>
                <w:color w:val="000000"/>
              </w:rPr>
            </w:pPr>
            <w:r>
              <w:rPr>
                <w:bCs/>
                <w:color w:val="000000"/>
              </w:rPr>
              <w:t>PNS</w:t>
            </w:r>
          </w:p>
        </w:tc>
        <w:tc>
          <w:tcPr>
            <w:tcW w:w="1496" w:type="dxa"/>
            <w:tcBorders>
              <w:top w:val="nil"/>
              <w:left w:val="nil"/>
              <w:bottom w:val="nil"/>
              <w:right w:val="nil"/>
            </w:tcBorders>
            <w:shd w:val="clear" w:color="auto" w:fill="FFFFFF"/>
          </w:tcPr>
          <w:p w:rsidR="00C84C39" w:rsidRPr="00FC4C45" w:rsidRDefault="00C84C39" w:rsidP="0015149D">
            <w:pPr>
              <w:rPr>
                <w:color w:val="000000"/>
              </w:rPr>
            </w:pPr>
          </w:p>
          <w:p w:rsidR="00C84C39" w:rsidRPr="00FC4C45" w:rsidRDefault="00631405" w:rsidP="0015149D">
            <w:pPr>
              <w:rPr>
                <w:color w:val="000000"/>
              </w:rPr>
            </w:pPr>
            <w:r>
              <w:rPr>
                <w:color w:val="000000"/>
              </w:rPr>
              <w:t xml:space="preserve">        76</w:t>
            </w:r>
          </w:p>
          <w:p w:rsidR="00C84C39" w:rsidRPr="00FC4C45" w:rsidRDefault="00631405" w:rsidP="0015149D">
            <w:pPr>
              <w:jc w:val="center"/>
              <w:rPr>
                <w:color w:val="000000"/>
              </w:rPr>
            </w:pPr>
            <w:r>
              <w:rPr>
                <w:color w:val="000000"/>
              </w:rPr>
              <w:t>32</w:t>
            </w:r>
          </w:p>
          <w:p w:rsidR="00C84C39" w:rsidRPr="00FC4C45" w:rsidRDefault="00631405" w:rsidP="0015149D">
            <w:pPr>
              <w:jc w:val="center"/>
              <w:rPr>
                <w:color w:val="000000"/>
              </w:rPr>
            </w:pPr>
            <w:r>
              <w:rPr>
                <w:color w:val="000000"/>
              </w:rPr>
              <w:t>25</w:t>
            </w:r>
          </w:p>
          <w:p w:rsidR="00C84C39" w:rsidRPr="00FC4C45" w:rsidRDefault="00631405" w:rsidP="0015149D">
            <w:pPr>
              <w:jc w:val="center"/>
              <w:rPr>
                <w:color w:val="000000"/>
              </w:rPr>
            </w:pPr>
            <w:r>
              <w:rPr>
                <w:color w:val="000000"/>
              </w:rPr>
              <w:t>7</w:t>
            </w:r>
          </w:p>
          <w:p w:rsidR="00C84C39" w:rsidRPr="00FC4C45" w:rsidRDefault="00C84C39" w:rsidP="0015149D">
            <w:pPr>
              <w:jc w:val="center"/>
              <w:rPr>
                <w:color w:val="000000"/>
              </w:rPr>
            </w:pPr>
          </w:p>
        </w:tc>
      </w:tr>
    </w:tbl>
    <w:p w:rsidR="00C84C39" w:rsidRPr="00FC4C45" w:rsidRDefault="00C84C39" w:rsidP="00C84C39"/>
    <w:p w:rsidR="00C84C39" w:rsidRPr="00FC4C45" w:rsidRDefault="00C84C39" w:rsidP="00C84C39">
      <w:pPr>
        <w:ind w:left="1440" w:firstLine="720"/>
      </w:pPr>
    </w:p>
    <w:p w:rsidR="00C84C39" w:rsidRPr="00FC4C45" w:rsidRDefault="00C84C39" w:rsidP="00C84C39">
      <w:pPr>
        <w:ind w:left="1440" w:firstLine="720"/>
      </w:pPr>
    </w:p>
    <w:p w:rsidR="00C84C39" w:rsidRPr="00FC4C45" w:rsidRDefault="00C84C39" w:rsidP="00C84C39">
      <w:pPr>
        <w:ind w:left="1440" w:firstLine="720"/>
      </w:pPr>
    </w:p>
    <w:p w:rsidR="00C84C39" w:rsidRPr="00FC4C45" w:rsidRDefault="00C84C39" w:rsidP="00C84C39">
      <w:pPr>
        <w:ind w:left="1440" w:firstLine="720"/>
      </w:pPr>
    </w:p>
    <w:p w:rsidR="00C84C39" w:rsidRPr="00FC4C45" w:rsidRDefault="00C84C39" w:rsidP="00C84C39">
      <w:pPr>
        <w:ind w:left="1440" w:firstLine="720"/>
      </w:pPr>
    </w:p>
    <w:p w:rsidR="00C84C39" w:rsidRPr="00FC4C45" w:rsidRDefault="00C84C39" w:rsidP="00C84C39">
      <w:pPr>
        <w:ind w:left="1440" w:firstLine="720"/>
      </w:pPr>
    </w:p>
    <w:p w:rsidR="00C84C39" w:rsidRPr="00FC4C45" w:rsidRDefault="00C84C39" w:rsidP="00C84C39">
      <w:pPr>
        <w:ind w:left="1440" w:firstLine="720"/>
      </w:pPr>
    </w:p>
    <w:p w:rsidR="00C84C39" w:rsidRPr="00FC4C45" w:rsidRDefault="00C84C39" w:rsidP="00C84C39">
      <w:pPr>
        <w:ind w:left="1440" w:firstLine="720"/>
      </w:pPr>
    </w:p>
    <w:p w:rsidR="00C84C39" w:rsidRPr="00FC4C45" w:rsidRDefault="00C84C39" w:rsidP="00C84C39">
      <w:pPr>
        <w:ind w:left="1440" w:firstLine="720"/>
      </w:pPr>
    </w:p>
    <w:p w:rsidR="00C84C39" w:rsidRPr="00FC4C45" w:rsidRDefault="00C84C39" w:rsidP="00C84C39">
      <w:pPr>
        <w:ind w:left="1440" w:firstLine="720"/>
      </w:pPr>
    </w:p>
    <w:p w:rsidR="00C84C39" w:rsidRPr="00FC4C45" w:rsidRDefault="00C84C39" w:rsidP="00C84C39">
      <w:pPr>
        <w:ind w:left="1440" w:firstLine="720"/>
      </w:pPr>
    </w:p>
    <w:p w:rsidR="00C84C39" w:rsidRPr="00FC4C45" w:rsidRDefault="00C84C39" w:rsidP="00C84C39">
      <w:pPr>
        <w:ind w:left="1440" w:firstLine="720"/>
      </w:pPr>
    </w:p>
    <w:p w:rsidR="00C84C39" w:rsidRPr="00FC4C45" w:rsidRDefault="00C84C39" w:rsidP="00C84C39">
      <w:pPr>
        <w:ind w:left="1440" w:firstLine="720"/>
      </w:pPr>
    </w:p>
    <w:p w:rsidR="00C84C39" w:rsidRPr="00FC4C45" w:rsidRDefault="00C84C39" w:rsidP="00C84C39">
      <w:pPr>
        <w:ind w:left="1440" w:firstLine="720"/>
      </w:pPr>
    </w:p>
    <w:p w:rsidR="00631405" w:rsidRDefault="00631405" w:rsidP="00C84C39"/>
    <w:p w:rsidR="00631405" w:rsidRDefault="00631405" w:rsidP="00C84C39"/>
    <w:p w:rsidR="00631405" w:rsidRPr="001F0D9F" w:rsidRDefault="00C84C39" w:rsidP="00631405">
      <w:pPr>
        <w:ind w:left="1440" w:firstLine="720"/>
        <w:rPr>
          <w:rFonts w:eastAsia="Arial Narrow"/>
          <w:b/>
          <w:bCs/>
        </w:rPr>
      </w:pPr>
      <w:proofErr w:type="gramStart"/>
      <w:r w:rsidRPr="00FC4C45">
        <w:t>Sumber :</w:t>
      </w:r>
      <w:proofErr w:type="gramEnd"/>
      <w:r w:rsidRPr="00FC4C45">
        <w:t xml:space="preserve"> </w:t>
      </w:r>
      <w:r w:rsidR="00631405" w:rsidRPr="00631405">
        <w:rPr>
          <w:rFonts w:eastAsia="Arial Narrow"/>
          <w:bCs/>
        </w:rPr>
        <w:t>Data di olah menggunakan SPSS</w:t>
      </w:r>
    </w:p>
    <w:p w:rsidR="00C84C39" w:rsidRPr="00FC4C45" w:rsidRDefault="00C84C39" w:rsidP="00631405">
      <w:pPr>
        <w:ind w:left="1440" w:firstLine="720"/>
      </w:pPr>
    </w:p>
    <w:p w:rsidR="00C84C39" w:rsidRPr="00631405" w:rsidRDefault="00631405" w:rsidP="00631405">
      <w:pPr>
        <w:rPr>
          <w:bCs/>
          <w:color w:val="000000"/>
        </w:rPr>
      </w:pPr>
      <w:proofErr w:type="gramStart"/>
      <w:r>
        <w:t>Tabel diatas menunjukkan 85 responden laki-laki dan 55</w:t>
      </w:r>
      <w:r w:rsidR="00C84C39" w:rsidRPr="00FC4C45">
        <w:t xml:space="preserve"> responden perempuan.</w:t>
      </w:r>
      <w:proofErr w:type="gramEnd"/>
      <w:r w:rsidR="00C84C39" w:rsidRPr="00FC4C45">
        <w:t xml:space="preserve"> Dengan kata </w:t>
      </w:r>
      <w:proofErr w:type="gramStart"/>
      <w:r w:rsidR="00C84C39" w:rsidRPr="00FC4C45">
        <w:t>lain</w:t>
      </w:r>
      <w:proofErr w:type="gramEnd"/>
      <w:r w:rsidR="00C84C39" w:rsidRPr="00FC4C45">
        <w:t>, mayoritas responden berjenis ke</w:t>
      </w:r>
      <w:r>
        <w:t>lamin laki-laki dengan jumlah 85</w:t>
      </w:r>
      <w:r w:rsidR="00C84C39" w:rsidRPr="00FC4C45">
        <w:t xml:space="preserve"> responden. Kemudian berdasarkan usia, terdapat </w:t>
      </w:r>
      <w:r>
        <w:t>97</w:t>
      </w:r>
      <w:r w:rsidR="00C84C39" w:rsidRPr="00FC4C45">
        <w:t xml:space="preserve"> responden berusia </w:t>
      </w:r>
      <w:r>
        <w:rPr>
          <w:bCs/>
          <w:color w:val="000000"/>
        </w:rPr>
        <w:t>21-30</w:t>
      </w:r>
      <w:r w:rsidRPr="00FC4C45">
        <w:rPr>
          <w:bCs/>
          <w:color w:val="000000"/>
        </w:rPr>
        <w:t xml:space="preserve"> tahun</w:t>
      </w:r>
      <w:r>
        <w:t>, 23</w:t>
      </w:r>
      <w:r w:rsidR="00C84C39" w:rsidRPr="00FC4C45">
        <w:t xml:space="preserve"> responden berusia </w:t>
      </w:r>
      <w:r>
        <w:rPr>
          <w:bCs/>
          <w:color w:val="000000"/>
        </w:rPr>
        <w:t>17-20</w:t>
      </w:r>
      <w:r w:rsidRPr="00FC4C45">
        <w:rPr>
          <w:bCs/>
          <w:color w:val="000000"/>
        </w:rPr>
        <w:t xml:space="preserve"> tahun</w:t>
      </w:r>
      <w:r>
        <w:t xml:space="preserve">, dan 20 </w:t>
      </w:r>
      <w:r w:rsidR="00C84C39" w:rsidRPr="00FC4C45">
        <w:t xml:space="preserve"> responden berusia </w:t>
      </w:r>
      <w:r>
        <w:rPr>
          <w:bCs/>
          <w:color w:val="000000"/>
        </w:rPr>
        <w:t>31-40</w:t>
      </w:r>
      <w:r w:rsidRPr="00FC4C45">
        <w:rPr>
          <w:bCs/>
          <w:color w:val="000000"/>
        </w:rPr>
        <w:t xml:space="preserve"> tahun</w:t>
      </w:r>
      <w:r>
        <w:t xml:space="preserve">. </w:t>
      </w:r>
      <w:proofErr w:type="gramStart"/>
      <w:r w:rsidR="00C84C39" w:rsidRPr="00FC4C45">
        <w:t>Berdasarkan data tersebut dapat disimpulkan bahwa mayoritas responden</w:t>
      </w:r>
      <w:r>
        <w:t xml:space="preserve"> yaitu</w:t>
      </w:r>
      <w:r w:rsidR="00C84C39" w:rsidRPr="00FC4C45">
        <w:t xml:space="preserve"> berusia </w:t>
      </w:r>
      <w:r>
        <w:rPr>
          <w:bCs/>
          <w:color w:val="000000"/>
        </w:rPr>
        <w:t>21-30</w:t>
      </w:r>
      <w:r w:rsidRPr="00FC4C45">
        <w:rPr>
          <w:bCs/>
          <w:color w:val="000000"/>
        </w:rPr>
        <w:t xml:space="preserve"> tahun</w:t>
      </w:r>
      <w:r w:rsidRPr="00FC4C45">
        <w:t xml:space="preserve"> </w:t>
      </w:r>
      <w:r w:rsidR="00C84C39" w:rsidRPr="00FC4C45">
        <w:t xml:space="preserve">dengan jumlah </w:t>
      </w:r>
      <w:r>
        <w:t>97</w:t>
      </w:r>
      <w:r w:rsidR="00C84C39" w:rsidRPr="00FC4C45">
        <w:t xml:space="preserve"> responden.</w:t>
      </w:r>
      <w:proofErr w:type="gramEnd"/>
    </w:p>
    <w:p w:rsidR="00C84C39" w:rsidRDefault="00C84C39" w:rsidP="00C84C39">
      <w:pPr>
        <w:ind w:firstLine="720"/>
      </w:pPr>
      <w:r w:rsidRPr="00FC4C45">
        <w:t xml:space="preserve">Kemudian berdasarkan pekerjaan, dapat dijelaskan bahwa terdapat </w:t>
      </w:r>
      <w:r w:rsidR="00631405">
        <w:t xml:space="preserve">76 </w:t>
      </w:r>
      <w:r w:rsidRPr="00FC4C45">
        <w:t xml:space="preserve">responden berstatus </w:t>
      </w:r>
      <w:r w:rsidR="00631405">
        <w:t>mahasiswa/</w:t>
      </w:r>
      <w:r w:rsidRPr="00FC4C45">
        <w:t xml:space="preserve">pelajar, </w:t>
      </w:r>
      <w:r w:rsidR="00631405">
        <w:t>32</w:t>
      </w:r>
      <w:r w:rsidRPr="00FC4C45">
        <w:t xml:space="preserve"> responden berstatus</w:t>
      </w:r>
      <w:r w:rsidR="00631405">
        <w:t xml:space="preserve"> wirausaha</w:t>
      </w:r>
      <w:r w:rsidRPr="00FC4C45">
        <w:t xml:space="preserve">, </w:t>
      </w:r>
      <w:r w:rsidR="00631405">
        <w:t>2</w:t>
      </w:r>
      <w:r w:rsidRPr="00FC4C45">
        <w:t xml:space="preserve">5 responden berstatus </w:t>
      </w:r>
      <w:r w:rsidR="00631405">
        <w:t>karyawan swasta dan 7</w:t>
      </w:r>
      <w:r w:rsidRPr="00FC4C45">
        <w:t xml:space="preserve"> responden berstatus sebagai PNS. </w:t>
      </w:r>
      <w:proofErr w:type="gramStart"/>
      <w:r w:rsidRPr="00FC4C45">
        <w:t xml:space="preserve">Berdasarkan data tersebut dapat disimpulkan bahwa mayoritas responden adalah </w:t>
      </w:r>
      <w:r w:rsidR="00631405">
        <w:t>mahasiswa/</w:t>
      </w:r>
      <w:r w:rsidR="00631405" w:rsidRPr="00FC4C45">
        <w:t xml:space="preserve">pelajar </w:t>
      </w:r>
      <w:r w:rsidRPr="00FC4C45">
        <w:t xml:space="preserve">yaitu sebanyak </w:t>
      </w:r>
      <w:r w:rsidR="00631405">
        <w:t xml:space="preserve">76 </w:t>
      </w:r>
      <w:r w:rsidRPr="00FC4C45">
        <w:t>responden.</w:t>
      </w:r>
      <w:proofErr w:type="gramEnd"/>
      <w:r w:rsidRPr="00FC4C45">
        <w:t xml:space="preserve"> </w:t>
      </w:r>
    </w:p>
    <w:p w:rsidR="00631405" w:rsidRPr="00FC4C45" w:rsidRDefault="00631405" w:rsidP="00C84C39">
      <w:pPr>
        <w:ind w:firstLine="720"/>
      </w:pPr>
    </w:p>
    <w:p w:rsidR="00C84C39" w:rsidRDefault="00C84C39" w:rsidP="00C84C39">
      <w:pPr>
        <w:rPr>
          <w:b/>
        </w:rPr>
      </w:pPr>
      <w:r w:rsidRPr="00FC4C45">
        <w:rPr>
          <w:b/>
        </w:rPr>
        <w:t>HASIL PENELITIAN</w:t>
      </w:r>
    </w:p>
    <w:p w:rsidR="00852FE5" w:rsidRPr="00FC4C45" w:rsidRDefault="00852FE5" w:rsidP="00C84C39">
      <w:pPr>
        <w:rPr>
          <w:b/>
        </w:rPr>
      </w:pPr>
    </w:p>
    <w:p w:rsidR="00C84C39" w:rsidRPr="00FC4C45" w:rsidRDefault="00C84C39" w:rsidP="00C84C39">
      <w:pPr>
        <w:ind w:firstLine="720"/>
        <w:rPr>
          <w:i/>
        </w:rPr>
      </w:pPr>
      <w:r w:rsidRPr="00FC4C45">
        <w:t xml:space="preserve">Seperti disebutkan di atas, penelitian ini menerapkan SEM. Dalam penelitian ini uji instrumen penelitian bertujuan untuk menguji instrumen dengan </w:t>
      </w:r>
      <w:proofErr w:type="gramStart"/>
      <w:r w:rsidRPr="00FC4C45">
        <w:t>cara</w:t>
      </w:r>
      <w:proofErr w:type="gramEnd"/>
      <w:r w:rsidRPr="00FC4C45">
        <w:t xml:space="preserve"> menguji validitas dan reliabilitas kuesioner yang telah diisi oleh responden untuk menguji instrumen sehingga diperoleh alat ukur yang valid dan reliabel. Analisis faktor merupakan alat analisis yang digunakan untuk menguji validitas penelitian ini dengan </w:t>
      </w:r>
      <w:proofErr w:type="gramStart"/>
      <w:r w:rsidRPr="00FC4C45">
        <w:t>cara</w:t>
      </w:r>
      <w:proofErr w:type="gramEnd"/>
      <w:r w:rsidRPr="00FC4C45">
        <w:t xml:space="preserve"> membandingkan nilai </w:t>
      </w:r>
      <w:r w:rsidRPr="00FC4C45">
        <w:rPr>
          <w:i/>
        </w:rPr>
        <w:t>faktor loading</w:t>
      </w:r>
      <w:r w:rsidRPr="00FC4C45">
        <w:t xml:space="preserve"> setiap pernyataan dengan </w:t>
      </w:r>
      <w:r w:rsidRPr="00FC4C45">
        <w:rPr>
          <w:i/>
        </w:rPr>
        <w:t>faktor loading</w:t>
      </w:r>
      <w:r w:rsidRPr="00FC4C45">
        <w:t xml:space="preserve"> standar. Menyesuaikan dengan jumlah indikator maka target sampel dalam peneli</w:t>
      </w:r>
      <w:r w:rsidR="00631405">
        <w:t>tian ini ditetapkan sebanyak 140</w:t>
      </w:r>
      <w:r w:rsidRPr="00FC4C45">
        <w:t xml:space="preserve"> responden, dengan demikian faktor load</w:t>
      </w:r>
      <w:r w:rsidR="00631405">
        <w:t>ing yang digunakan adalah ≥ 0,45</w:t>
      </w:r>
      <w:r w:rsidRPr="00FC4C45">
        <w:t xml:space="preserve"> sehingga indikator dinyatakan valid </w:t>
      </w:r>
      <w:r w:rsidRPr="00FC4C45">
        <w:fldChar w:fldCharType="begin" w:fldLock="1"/>
      </w:r>
      <w:r w:rsidRPr="00FC4C45">
        <w:instrText>ADDIN CSL_CITATION {"citationItems":[{"id":"ITEM-1","itemData":{"DOI":"10.1002/9781119409137.ch4","ISBN":"9781473756540","abstract":"structural model estimation. But perhaps most exciting has been the integration of methods from the fields of data mining, machine learning and neural networks. These fields of study have remained separate for too long, repre- senting different “cultures” in terms of approaches to data analysis. But as we discuss in Chapter 1 and throughout the text, these two fields provide complementary approaches, each of which has advantages and disadvantages. We hope that by acknowledging these complementarities we can in some small way increase the rate of integration between the two fields. The development of these analytical methods has also been greatly facilitated by the tremendous increase in computing power available in so many formats and platforms. Today the processing power is essentially unlim- ited as larger and larger types of problems are being tackled. The availability of these techniques has also been expanded not only through the continued development of the traditional software packages such as SAS and it’s counterpart JMP, IBM SPSS and STATA, as well as SmartPLS for PLS-SEM, but also the recent wide-spread use of free, open-source, software, typified by the R-project, which has been around as far back as 1992, with roots at Bell Labs previous to that time. Today researchers have at their disposal the widest range of software alternatives ever available.But perhaps the most interesting and exciting development has occurred in the past decade with the emergence of “Big Data” and the acceptance of data-driven decisionmaking. Big Data has revolutionized the type and scope of analyses that are now being performed into topics and areas never before imagined. The widespread availability of both consumer-level, firm-level and event-level data has empowered researchers in both the academic and applied domains to address questions that only a few short years ago were not even conceptualized. An accompanying trend has been the acceptance of analytical approaches to decisionmaking at all levels. In some instances researchers had little choice since the speed and scope of the activities (e.g., many digital and ecommerce decisions) required an automated solution. But in other areas the widespread availability of heretofore unavailable data sources and unlim- ited processing capacity quickly made the analytical option the first choice. The first seven editions of this text and this latest edition have all attempted to reflect these changes within the analytics …","author":[{"dropping-particle":"","family":"Jr","given":"Joseph F Hair","non-dropping-particle":"","parse-names":false,"suffix":""},{"dropping-particle":"","family":"Black","given":"William C","non-dropping-particle":"","parse-names":false,"suffix":""},{"dropping-particle":"","family":"Babin","given":"Barry J","non-dropping-particle":"","parse-names":false,"suffix":""},{"dropping-particle":"","family":"Anderson","given":"Rolph E","non-dropping-particle":"","parse-names":false,"suffix":""},{"dropping-particle":"","family":"Black","given":"William C","non-dropping-particle":"","parse-names":false,"suffix":""},{"dropping-particle":"","family":"Anderson","given":"Rolph E","non-dropping-particle":"","parse-names":false,"suffix":""}],"id":"ITEM-1","issued":{"date-parts":[["2018"]]},"number-of-pages":"95-120","title":"Multivariate Data Analysis","type":"book"},"uris":["http://www.mendeley.com/documents/?uuid=82bd4964-7286-406f-9d71-e0aa74ac2bc7"]}],"mendeley":{"formattedCitation":"(Jr et al., 2018)","manualFormatting":"(Hair et al., 2018)","plainTextFormattedCitation":"(Jr et al., 2018)","previouslyFormattedCitation":"(Jr et al., 2018)"},"properties":{"noteIndex":0},"schema":"https://github.com/citation-style-language/schema/raw/master/csl-citation.json"}</w:instrText>
      </w:r>
      <w:r w:rsidRPr="00FC4C45">
        <w:fldChar w:fldCharType="separate"/>
      </w:r>
      <w:r w:rsidRPr="00FC4C45">
        <w:rPr>
          <w:noProof/>
        </w:rPr>
        <w:t xml:space="preserve">(Hair </w:t>
      </w:r>
      <w:r w:rsidRPr="00FC4C45">
        <w:rPr>
          <w:i/>
          <w:noProof/>
        </w:rPr>
        <w:t>et al</w:t>
      </w:r>
      <w:r w:rsidRPr="00FC4C45">
        <w:rPr>
          <w:noProof/>
        </w:rPr>
        <w:t>., 2018)</w:t>
      </w:r>
      <w:r w:rsidRPr="00FC4C45">
        <w:fldChar w:fldCharType="end"/>
      </w:r>
      <w:r w:rsidRPr="00FC4C45">
        <w:t xml:space="preserve">. Uji reliabilitas dilakukan dengan melihat nilai koefisien </w:t>
      </w:r>
      <w:r w:rsidRPr="00FC4C45">
        <w:rPr>
          <w:i/>
        </w:rPr>
        <w:t>cronbach’s alpha</w:t>
      </w:r>
      <w:r w:rsidRPr="00FC4C45">
        <w:t xml:space="preserve">, variabel dinyatakan diterima jika </w:t>
      </w:r>
      <w:r w:rsidRPr="00FC4C45">
        <w:rPr>
          <w:i/>
        </w:rPr>
        <w:t>cronbach’s alpha</w:t>
      </w:r>
      <w:r w:rsidRPr="00FC4C45">
        <w:t xml:space="preserve"> ≥ 0,60 </w:t>
      </w:r>
      <w:r w:rsidRPr="00FC4C45">
        <w:fldChar w:fldCharType="begin" w:fldLock="1"/>
      </w:r>
      <w:r w:rsidRPr="00FC4C45">
        <w:instrText>ADDIN CSL_CITATION {"citationItems":[{"id":"ITEM-1","itemData":{"abstract":"Seventh edition. Research Methods for Business: A Skill-Building Approach is a concise and straightforward introduction for students to the world of business research. The skill-building approach provides students with practical perspectives on how research can be applied in real business situations. Introduction to research -- The scientific approach and alternative approaches to investigation -- Defining and refining the problem -- The critical literature review -- Theoretical framework and hypothesis development -- Elements of research design -- Interviews -- Data collection methods : observation -- Administering questionnaires -- Experimental designs -- Measurement variables : operational definition -- Measurement : scaling, reliability and validity -- Sampling -- Quantitative data analysis -- Quantitative data analysis : hypothesis testing -- Qualitative data analysis -- The research report.","author":[{"dropping-particle":"","family":"Sekaran","given":"Bougie","non-dropping-particle":"","parse-names":false,"suffix":""}],"id":"ITEM-1","issued":{"date-parts":[["2016"]]},"title":"An easy way to help students learn, collaborate, and grow","type":"article-journal"},"uris":["http://www.mendeley.com/documents/?uuid=5fa68c88-b71b-47d9-a1ae-737e351dd236"]}],"mendeley":{"formattedCitation":"(Sekaran, 2016)","manualFormatting":"(Sekaran &amp; Bougie, 2016)","plainTextFormattedCitation":"(Sekaran, 2016)","previouslyFormattedCitation":"(Sekaran, 2016)"},"properties":{"noteIndex":0},"schema":"https://github.com/citation-style-language/schema/raw/master/csl-citation.json"}</w:instrText>
      </w:r>
      <w:r w:rsidRPr="00FC4C45">
        <w:fldChar w:fldCharType="separate"/>
      </w:r>
      <w:r w:rsidRPr="00FC4C45">
        <w:rPr>
          <w:noProof/>
        </w:rPr>
        <w:t>(Sekaran &amp; Bougie, 2016)</w:t>
      </w:r>
      <w:r w:rsidRPr="00FC4C45">
        <w:fldChar w:fldCharType="end"/>
      </w:r>
      <w:r w:rsidRPr="00FC4C45">
        <w:t xml:space="preserve">. Tabel 2 menyajikan hasil uji validitas dan reliabilitas dengan menggunakan 2 pengukuran yaitu analisis faktor dan </w:t>
      </w:r>
      <w:r w:rsidRPr="00FC4C45">
        <w:rPr>
          <w:i/>
        </w:rPr>
        <w:t>Cronbach's alpha.</w:t>
      </w:r>
    </w:p>
    <w:p w:rsidR="00631405" w:rsidRDefault="00631405" w:rsidP="00C84C39">
      <w:pPr>
        <w:ind w:firstLine="720"/>
        <w:jc w:val="center"/>
        <w:rPr>
          <w:b/>
        </w:rPr>
      </w:pPr>
    </w:p>
    <w:p w:rsidR="00631405" w:rsidRDefault="00631405" w:rsidP="00C84C39">
      <w:pPr>
        <w:ind w:firstLine="720"/>
        <w:jc w:val="center"/>
        <w:rPr>
          <w:b/>
        </w:rPr>
      </w:pPr>
    </w:p>
    <w:p w:rsidR="00852FE5" w:rsidRDefault="00852FE5" w:rsidP="00852FE5">
      <w:pPr>
        <w:jc w:val="center"/>
        <w:rPr>
          <w:rFonts w:eastAsia="Arial Narrow"/>
          <w:b/>
        </w:rPr>
      </w:pPr>
    </w:p>
    <w:p w:rsidR="00852FE5" w:rsidRDefault="00852FE5" w:rsidP="00852FE5">
      <w:pPr>
        <w:jc w:val="center"/>
        <w:rPr>
          <w:rFonts w:eastAsia="Arial Narrow"/>
          <w:b/>
        </w:rPr>
      </w:pPr>
    </w:p>
    <w:p w:rsidR="00852FE5" w:rsidRDefault="00852FE5" w:rsidP="00852FE5">
      <w:pPr>
        <w:jc w:val="center"/>
        <w:rPr>
          <w:rFonts w:eastAsia="Arial Narrow"/>
          <w:b/>
        </w:rPr>
      </w:pPr>
    </w:p>
    <w:p w:rsidR="00852FE5" w:rsidRDefault="00852FE5" w:rsidP="00852FE5">
      <w:pPr>
        <w:jc w:val="center"/>
        <w:rPr>
          <w:rFonts w:eastAsia="Arial Narrow"/>
          <w:b/>
        </w:rPr>
      </w:pPr>
    </w:p>
    <w:p w:rsidR="00852FE5" w:rsidRDefault="00852FE5" w:rsidP="00852FE5">
      <w:pPr>
        <w:jc w:val="center"/>
        <w:rPr>
          <w:rFonts w:eastAsia="Arial Narrow"/>
          <w:b/>
        </w:rPr>
      </w:pPr>
    </w:p>
    <w:p w:rsidR="00852FE5" w:rsidRDefault="00852FE5" w:rsidP="00852FE5">
      <w:pPr>
        <w:jc w:val="center"/>
        <w:rPr>
          <w:rFonts w:eastAsia="Arial Narrow"/>
          <w:b/>
        </w:rPr>
      </w:pPr>
      <w:r w:rsidRPr="001F0D9F">
        <w:rPr>
          <w:rFonts w:eastAsia="Arial Narrow"/>
          <w:b/>
        </w:rPr>
        <w:lastRenderedPageBreak/>
        <w:t>TABEL 2</w:t>
      </w:r>
    </w:p>
    <w:p w:rsidR="00852FE5" w:rsidRPr="001F0D9F" w:rsidRDefault="00852FE5" w:rsidP="00852FE5">
      <w:pPr>
        <w:jc w:val="center"/>
        <w:rPr>
          <w:rFonts w:eastAsia="Arial Narrow"/>
          <w:b/>
        </w:rPr>
      </w:pPr>
      <w:r>
        <w:rPr>
          <w:rFonts w:eastAsia="Arial Narrow"/>
          <w:b/>
        </w:rPr>
        <w:t xml:space="preserve">Uji Validitas </w:t>
      </w:r>
      <w:r w:rsidRPr="001F0D9F">
        <w:rPr>
          <w:rFonts w:eastAsia="Arial Narrow"/>
          <w:b/>
        </w:rPr>
        <w:t xml:space="preserve">&amp; </w:t>
      </w:r>
      <w:r>
        <w:rPr>
          <w:rFonts w:eastAsia="Arial Narrow"/>
          <w:b/>
        </w:rPr>
        <w:t xml:space="preserve">Uji Realiabilitas </w:t>
      </w:r>
    </w:p>
    <w:p w:rsidR="00852FE5" w:rsidRPr="001F0D9F" w:rsidRDefault="00852FE5" w:rsidP="00852FE5">
      <w:pPr>
        <w:rPr>
          <w:rFonts w:eastAsia="Arial Narrow"/>
        </w:rPr>
      </w:pPr>
    </w:p>
    <w:tbl>
      <w:tblPr>
        <w:tblStyle w:val="Normal-Benefit-AwalparagrafChar"/>
        <w:tblW w:w="0" w:type="auto"/>
        <w:jc w:val="center"/>
        <w:tblInd w:w="-856" w:type="dxa"/>
        <w:tblLook w:val="04A0" w:firstRow="1" w:lastRow="0" w:firstColumn="1" w:lastColumn="0" w:noHBand="0" w:noVBand="1"/>
      </w:tblPr>
      <w:tblGrid>
        <w:gridCol w:w="1822"/>
        <w:gridCol w:w="1800"/>
        <w:gridCol w:w="2556"/>
        <w:gridCol w:w="1786"/>
      </w:tblGrid>
      <w:tr w:rsidR="00852FE5" w:rsidRPr="001F0D9F" w:rsidTr="00852FE5">
        <w:trPr>
          <w:trHeight w:val="528"/>
          <w:jc w:val="center"/>
        </w:trPr>
        <w:tc>
          <w:tcPr>
            <w:tcW w:w="1822" w:type="dxa"/>
            <w:vMerge w:val="restart"/>
          </w:tcPr>
          <w:p w:rsidR="00852FE5" w:rsidRPr="00852FE5" w:rsidRDefault="00852FE5" w:rsidP="00852FE5">
            <w:pPr>
              <w:adjustRightInd w:val="0"/>
              <w:spacing w:line="400" w:lineRule="atLeast"/>
              <w:jc w:val="left"/>
              <w:rPr>
                <w:b/>
                <w:sz w:val="24"/>
                <w:szCs w:val="24"/>
              </w:rPr>
            </w:pPr>
            <w:r>
              <w:rPr>
                <w:b/>
                <w:sz w:val="24"/>
                <w:szCs w:val="24"/>
              </w:rPr>
              <w:t>Variabel</w:t>
            </w:r>
          </w:p>
        </w:tc>
        <w:tc>
          <w:tcPr>
            <w:tcW w:w="1800" w:type="dxa"/>
            <w:vMerge w:val="restart"/>
          </w:tcPr>
          <w:p w:rsidR="00852FE5" w:rsidRPr="00852FE5" w:rsidRDefault="00852FE5" w:rsidP="00852FE5">
            <w:pPr>
              <w:adjustRightInd w:val="0"/>
              <w:spacing w:line="400" w:lineRule="atLeast"/>
              <w:jc w:val="left"/>
              <w:rPr>
                <w:b/>
                <w:sz w:val="24"/>
                <w:szCs w:val="24"/>
              </w:rPr>
            </w:pPr>
            <w:r w:rsidRPr="00852FE5">
              <w:rPr>
                <w:b/>
                <w:sz w:val="24"/>
                <w:szCs w:val="24"/>
              </w:rPr>
              <w:t>Items</w:t>
            </w:r>
          </w:p>
        </w:tc>
        <w:tc>
          <w:tcPr>
            <w:tcW w:w="2556" w:type="dxa"/>
          </w:tcPr>
          <w:p w:rsidR="00852FE5" w:rsidRPr="00852FE5" w:rsidRDefault="00852FE5" w:rsidP="00852FE5">
            <w:pPr>
              <w:adjustRightInd w:val="0"/>
              <w:spacing w:line="400" w:lineRule="atLeast"/>
              <w:rPr>
                <w:b/>
                <w:i/>
                <w:sz w:val="24"/>
                <w:szCs w:val="24"/>
              </w:rPr>
            </w:pPr>
            <w:r w:rsidRPr="00852FE5">
              <w:rPr>
                <w:b/>
                <w:i/>
                <w:sz w:val="24"/>
                <w:szCs w:val="24"/>
              </w:rPr>
              <w:t>Convergent Validity</w:t>
            </w:r>
          </w:p>
        </w:tc>
        <w:tc>
          <w:tcPr>
            <w:tcW w:w="1786" w:type="dxa"/>
          </w:tcPr>
          <w:p w:rsidR="00852FE5" w:rsidRPr="00852FE5" w:rsidRDefault="00852FE5" w:rsidP="00852FE5">
            <w:pPr>
              <w:adjustRightInd w:val="0"/>
              <w:spacing w:line="400" w:lineRule="atLeast"/>
              <w:rPr>
                <w:b/>
                <w:i/>
                <w:sz w:val="24"/>
                <w:szCs w:val="24"/>
              </w:rPr>
            </w:pPr>
            <w:r w:rsidRPr="00852FE5">
              <w:rPr>
                <w:b/>
                <w:i/>
                <w:sz w:val="24"/>
                <w:szCs w:val="24"/>
              </w:rPr>
              <w:t>Reliability</w:t>
            </w:r>
          </w:p>
        </w:tc>
      </w:tr>
      <w:tr w:rsidR="00852FE5" w:rsidRPr="001F0D9F" w:rsidTr="00852FE5">
        <w:trPr>
          <w:trHeight w:val="528"/>
          <w:jc w:val="center"/>
        </w:trPr>
        <w:tc>
          <w:tcPr>
            <w:tcW w:w="1822" w:type="dxa"/>
            <w:vMerge/>
          </w:tcPr>
          <w:p w:rsidR="00852FE5" w:rsidRPr="001F0D9F" w:rsidRDefault="00852FE5" w:rsidP="0015149D">
            <w:pPr>
              <w:adjustRightInd w:val="0"/>
              <w:spacing w:line="400" w:lineRule="atLeast"/>
              <w:jc w:val="center"/>
              <w:rPr>
                <w:sz w:val="24"/>
                <w:szCs w:val="24"/>
              </w:rPr>
            </w:pPr>
          </w:p>
        </w:tc>
        <w:tc>
          <w:tcPr>
            <w:tcW w:w="1800" w:type="dxa"/>
            <w:vMerge/>
          </w:tcPr>
          <w:p w:rsidR="00852FE5" w:rsidRPr="00852FE5" w:rsidRDefault="00852FE5" w:rsidP="0015149D">
            <w:pPr>
              <w:adjustRightInd w:val="0"/>
              <w:spacing w:line="400" w:lineRule="atLeast"/>
              <w:jc w:val="center"/>
              <w:rPr>
                <w:b/>
                <w:sz w:val="24"/>
                <w:szCs w:val="24"/>
              </w:rPr>
            </w:pPr>
          </w:p>
        </w:tc>
        <w:tc>
          <w:tcPr>
            <w:tcW w:w="2556" w:type="dxa"/>
          </w:tcPr>
          <w:p w:rsidR="00852FE5" w:rsidRPr="00852FE5" w:rsidRDefault="00852FE5" w:rsidP="00852FE5">
            <w:pPr>
              <w:adjustRightInd w:val="0"/>
              <w:spacing w:line="400" w:lineRule="atLeast"/>
              <w:rPr>
                <w:b/>
                <w:i/>
                <w:sz w:val="24"/>
                <w:szCs w:val="24"/>
              </w:rPr>
            </w:pPr>
            <w:r w:rsidRPr="00852FE5">
              <w:rPr>
                <w:b/>
                <w:i/>
                <w:sz w:val="24"/>
                <w:szCs w:val="24"/>
              </w:rPr>
              <w:t>Factor Loading</w:t>
            </w:r>
          </w:p>
        </w:tc>
        <w:tc>
          <w:tcPr>
            <w:tcW w:w="1786" w:type="dxa"/>
          </w:tcPr>
          <w:p w:rsidR="00852FE5" w:rsidRPr="00852FE5" w:rsidRDefault="00852FE5" w:rsidP="00852FE5">
            <w:pPr>
              <w:adjustRightInd w:val="0"/>
              <w:spacing w:line="400" w:lineRule="atLeast"/>
              <w:rPr>
                <w:b/>
                <w:i/>
                <w:sz w:val="24"/>
                <w:szCs w:val="24"/>
              </w:rPr>
            </w:pPr>
            <w:r w:rsidRPr="00852FE5">
              <w:rPr>
                <w:b/>
                <w:i/>
                <w:sz w:val="24"/>
                <w:szCs w:val="24"/>
              </w:rPr>
              <w:t>Cronbach’s Alpha</w:t>
            </w:r>
          </w:p>
        </w:tc>
      </w:tr>
      <w:tr w:rsidR="00852FE5" w:rsidRPr="001F0D9F" w:rsidTr="00852FE5">
        <w:trPr>
          <w:trHeight w:val="1584"/>
          <w:jc w:val="center"/>
        </w:trPr>
        <w:tc>
          <w:tcPr>
            <w:tcW w:w="1822" w:type="dxa"/>
          </w:tcPr>
          <w:p w:rsidR="00852FE5" w:rsidRPr="00852FE5" w:rsidRDefault="00852FE5" w:rsidP="00852FE5">
            <w:pPr>
              <w:adjustRightInd w:val="0"/>
              <w:spacing w:line="400" w:lineRule="atLeast"/>
              <w:rPr>
                <w:i/>
                <w:sz w:val="24"/>
                <w:szCs w:val="24"/>
              </w:rPr>
            </w:pPr>
            <w:r w:rsidRPr="00852FE5">
              <w:rPr>
                <w:i/>
                <w:sz w:val="24"/>
                <w:szCs w:val="24"/>
              </w:rPr>
              <w:t>Attribute of responsibility</w:t>
            </w:r>
          </w:p>
        </w:tc>
        <w:tc>
          <w:tcPr>
            <w:tcW w:w="1800" w:type="dxa"/>
          </w:tcPr>
          <w:p w:rsidR="00852FE5" w:rsidRPr="001F0D9F" w:rsidRDefault="00852FE5" w:rsidP="00852FE5">
            <w:pPr>
              <w:adjustRightInd w:val="0"/>
              <w:spacing w:line="400" w:lineRule="atLeast"/>
              <w:jc w:val="left"/>
              <w:rPr>
                <w:sz w:val="24"/>
                <w:szCs w:val="24"/>
              </w:rPr>
            </w:pPr>
            <w:r w:rsidRPr="001F0D9F">
              <w:rPr>
                <w:sz w:val="24"/>
                <w:szCs w:val="24"/>
              </w:rPr>
              <w:t>AOR 1</w:t>
            </w:r>
          </w:p>
          <w:p w:rsidR="00852FE5" w:rsidRPr="001F0D9F" w:rsidRDefault="00852FE5" w:rsidP="00852FE5">
            <w:pPr>
              <w:adjustRightInd w:val="0"/>
              <w:spacing w:line="400" w:lineRule="atLeast"/>
              <w:jc w:val="left"/>
              <w:rPr>
                <w:sz w:val="24"/>
                <w:szCs w:val="24"/>
              </w:rPr>
            </w:pPr>
            <w:r w:rsidRPr="001F0D9F">
              <w:rPr>
                <w:sz w:val="24"/>
                <w:szCs w:val="24"/>
              </w:rPr>
              <w:t>AOR 2</w:t>
            </w:r>
          </w:p>
          <w:p w:rsidR="00852FE5" w:rsidRPr="001F0D9F" w:rsidRDefault="00852FE5" w:rsidP="00852FE5">
            <w:pPr>
              <w:adjustRightInd w:val="0"/>
              <w:spacing w:line="400" w:lineRule="atLeast"/>
              <w:jc w:val="left"/>
              <w:rPr>
                <w:sz w:val="24"/>
                <w:szCs w:val="24"/>
              </w:rPr>
            </w:pPr>
            <w:r w:rsidRPr="001F0D9F">
              <w:rPr>
                <w:sz w:val="24"/>
                <w:szCs w:val="24"/>
              </w:rPr>
              <w:t>AOR 3</w:t>
            </w:r>
          </w:p>
        </w:tc>
        <w:tc>
          <w:tcPr>
            <w:tcW w:w="2556" w:type="dxa"/>
          </w:tcPr>
          <w:p w:rsidR="00852FE5" w:rsidRPr="001F0D9F" w:rsidRDefault="00852FE5" w:rsidP="00852FE5">
            <w:pPr>
              <w:adjustRightInd w:val="0"/>
              <w:spacing w:line="400" w:lineRule="atLeast"/>
              <w:jc w:val="left"/>
              <w:rPr>
                <w:sz w:val="24"/>
                <w:szCs w:val="24"/>
              </w:rPr>
            </w:pPr>
            <w:r w:rsidRPr="001F0D9F">
              <w:rPr>
                <w:sz w:val="24"/>
                <w:szCs w:val="24"/>
              </w:rPr>
              <w:t>0.826</w:t>
            </w:r>
          </w:p>
          <w:p w:rsidR="00852FE5" w:rsidRPr="001F0D9F" w:rsidRDefault="00852FE5" w:rsidP="00852FE5">
            <w:pPr>
              <w:adjustRightInd w:val="0"/>
              <w:spacing w:line="400" w:lineRule="atLeast"/>
              <w:jc w:val="left"/>
              <w:rPr>
                <w:sz w:val="24"/>
                <w:szCs w:val="24"/>
              </w:rPr>
            </w:pPr>
            <w:r w:rsidRPr="001F0D9F">
              <w:rPr>
                <w:sz w:val="24"/>
                <w:szCs w:val="24"/>
              </w:rPr>
              <w:t>0.668</w:t>
            </w:r>
          </w:p>
          <w:p w:rsidR="00852FE5" w:rsidRPr="001F0D9F" w:rsidRDefault="00852FE5" w:rsidP="00852FE5">
            <w:pPr>
              <w:adjustRightInd w:val="0"/>
              <w:spacing w:line="400" w:lineRule="atLeast"/>
              <w:jc w:val="left"/>
              <w:rPr>
                <w:sz w:val="24"/>
                <w:szCs w:val="24"/>
              </w:rPr>
            </w:pPr>
            <w:r w:rsidRPr="001F0D9F">
              <w:rPr>
                <w:sz w:val="24"/>
                <w:szCs w:val="24"/>
              </w:rPr>
              <w:t>0.837</w:t>
            </w:r>
          </w:p>
        </w:tc>
        <w:tc>
          <w:tcPr>
            <w:tcW w:w="1786" w:type="dxa"/>
          </w:tcPr>
          <w:p w:rsidR="00852FE5" w:rsidRPr="001F0D9F" w:rsidRDefault="00852FE5" w:rsidP="00852FE5">
            <w:pPr>
              <w:adjustRightInd w:val="0"/>
              <w:spacing w:line="400" w:lineRule="atLeast"/>
              <w:jc w:val="left"/>
              <w:rPr>
                <w:sz w:val="24"/>
                <w:szCs w:val="24"/>
              </w:rPr>
            </w:pPr>
            <w:r w:rsidRPr="001F0D9F">
              <w:rPr>
                <w:sz w:val="24"/>
                <w:szCs w:val="24"/>
              </w:rPr>
              <w:t>0.675</w:t>
            </w:r>
          </w:p>
        </w:tc>
      </w:tr>
      <w:tr w:rsidR="00852FE5" w:rsidRPr="001F0D9F" w:rsidTr="00852FE5">
        <w:trPr>
          <w:trHeight w:val="2640"/>
          <w:jc w:val="center"/>
        </w:trPr>
        <w:tc>
          <w:tcPr>
            <w:tcW w:w="1822" w:type="dxa"/>
          </w:tcPr>
          <w:p w:rsidR="00852FE5" w:rsidRPr="00852FE5" w:rsidRDefault="00852FE5" w:rsidP="00852FE5">
            <w:pPr>
              <w:adjustRightInd w:val="0"/>
              <w:spacing w:line="400" w:lineRule="atLeast"/>
              <w:rPr>
                <w:i/>
                <w:sz w:val="24"/>
                <w:szCs w:val="24"/>
              </w:rPr>
            </w:pPr>
            <w:r w:rsidRPr="00852FE5">
              <w:rPr>
                <w:i/>
                <w:sz w:val="24"/>
                <w:szCs w:val="24"/>
              </w:rPr>
              <w:t>Campus advertisement</w:t>
            </w:r>
          </w:p>
        </w:tc>
        <w:tc>
          <w:tcPr>
            <w:tcW w:w="1800" w:type="dxa"/>
          </w:tcPr>
          <w:p w:rsidR="00852FE5" w:rsidRPr="001F0D9F" w:rsidRDefault="00852FE5" w:rsidP="00852FE5">
            <w:pPr>
              <w:adjustRightInd w:val="0"/>
              <w:spacing w:line="400" w:lineRule="atLeast"/>
              <w:jc w:val="left"/>
              <w:rPr>
                <w:sz w:val="24"/>
                <w:szCs w:val="24"/>
              </w:rPr>
            </w:pPr>
            <w:r w:rsidRPr="001F0D9F">
              <w:rPr>
                <w:sz w:val="24"/>
                <w:szCs w:val="24"/>
              </w:rPr>
              <w:t>CA 1</w:t>
            </w:r>
          </w:p>
          <w:p w:rsidR="00852FE5" w:rsidRPr="001F0D9F" w:rsidRDefault="00852FE5" w:rsidP="00852FE5">
            <w:pPr>
              <w:adjustRightInd w:val="0"/>
              <w:spacing w:line="400" w:lineRule="atLeast"/>
              <w:jc w:val="left"/>
              <w:rPr>
                <w:sz w:val="24"/>
                <w:szCs w:val="24"/>
              </w:rPr>
            </w:pPr>
            <w:r w:rsidRPr="001F0D9F">
              <w:rPr>
                <w:sz w:val="24"/>
                <w:szCs w:val="24"/>
              </w:rPr>
              <w:t>CA 2</w:t>
            </w:r>
          </w:p>
          <w:p w:rsidR="00852FE5" w:rsidRPr="001F0D9F" w:rsidRDefault="00852FE5" w:rsidP="00852FE5">
            <w:pPr>
              <w:adjustRightInd w:val="0"/>
              <w:spacing w:line="400" w:lineRule="atLeast"/>
              <w:jc w:val="left"/>
              <w:rPr>
                <w:sz w:val="24"/>
                <w:szCs w:val="24"/>
              </w:rPr>
            </w:pPr>
            <w:r w:rsidRPr="001F0D9F">
              <w:rPr>
                <w:sz w:val="24"/>
                <w:szCs w:val="24"/>
              </w:rPr>
              <w:t>CA 3</w:t>
            </w:r>
          </w:p>
          <w:p w:rsidR="00852FE5" w:rsidRPr="001F0D9F" w:rsidRDefault="00852FE5" w:rsidP="00852FE5">
            <w:pPr>
              <w:adjustRightInd w:val="0"/>
              <w:spacing w:line="400" w:lineRule="atLeast"/>
              <w:jc w:val="left"/>
              <w:rPr>
                <w:sz w:val="24"/>
                <w:szCs w:val="24"/>
              </w:rPr>
            </w:pPr>
            <w:r w:rsidRPr="001F0D9F">
              <w:rPr>
                <w:sz w:val="24"/>
                <w:szCs w:val="24"/>
              </w:rPr>
              <w:t>CA 4</w:t>
            </w:r>
          </w:p>
          <w:p w:rsidR="00852FE5" w:rsidRPr="001F0D9F" w:rsidRDefault="00852FE5" w:rsidP="00852FE5">
            <w:pPr>
              <w:adjustRightInd w:val="0"/>
              <w:spacing w:line="400" w:lineRule="atLeast"/>
              <w:jc w:val="left"/>
              <w:rPr>
                <w:sz w:val="24"/>
                <w:szCs w:val="24"/>
              </w:rPr>
            </w:pPr>
            <w:r w:rsidRPr="001F0D9F">
              <w:rPr>
                <w:sz w:val="24"/>
                <w:szCs w:val="24"/>
              </w:rPr>
              <w:t>CA 5</w:t>
            </w:r>
          </w:p>
        </w:tc>
        <w:tc>
          <w:tcPr>
            <w:tcW w:w="2556" w:type="dxa"/>
          </w:tcPr>
          <w:p w:rsidR="00852FE5" w:rsidRPr="001F0D9F" w:rsidRDefault="00852FE5" w:rsidP="00852FE5">
            <w:pPr>
              <w:adjustRightInd w:val="0"/>
              <w:spacing w:line="400" w:lineRule="atLeast"/>
              <w:jc w:val="left"/>
              <w:rPr>
                <w:sz w:val="24"/>
                <w:szCs w:val="24"/>
              </w:rPr>
            </w:pPr>
            <w:r w:rsidRPr="001F0D9F">
              <w:rPr>
                <w:sz w:val="24"/>
                <w:szCs w:val="24"/>
              </w:rPr>
              <w:t>0.794</w:t>
            </w:r>
          </w:p>
          <w:p w:rsidR="00852FE5" w:rsidRPr="001F0D9F" w:rsidRDefault="00852FE5" w:rsidP="00852FE5">
            <w:pPr>
              <w:adjustRightInd w:val="0"/>
              <w:spacing w:line="400" w:lineRule="atLeast"/>
              <w:jc w:val="left"/>
              <w:rPr>
                <w:sz w:val="24"/>
                <w:szCs w:val="24"/>
              </w:rPr>
            </w:pPr>
            <w:r w:rsidRPr="001F0D9F">
              <w:rPr>
                <w:sz w:val="24"/>
                <w:szCs w:val="24"/>
              </w:rPr>
              <w:t>0.479</w:t>
            </w:r>
          </w:p>
          <w:p w:rsidR="00852FE5" w:rsidRPr="001F0D9F" w:rsidRDefault="00852FE5" w:rsidP="00852FE5">
            <w:pPr>
              <w:adjustRightInd w:val="0"/>
              <w:spacing w:line="400" w:lineRule="atLeast"/>
              <w:jc w:val="left"/>
              <w:rPr>
                <w:sz w:val="24"/>
                <w:szCs w:val="24"/>
              </w:rPr>
            </w:pPr>
            <w:r w:rsidRPr="001F0D9F">
              <w:rPr>
                <w:sz w:val="24"/>
                <w:szCs w:val="24"/>
              </w:rPr>
              <w:t>0.738</w:t>
            </w:r>
          </w:p>
          <w:p w:rsidR="00852FE5" w:rsidRPr="001F0D9F" w:rsidRDefault="00852FE5" w:rsidP="00852FE5">
            <w:pPr>
              <w:adjustRightInd w:val="0"/>
              <w:spacing w:line="400" w:lineRule="atLeast"/>
              <w:jc w:val="left"/>
              <w:rPr>
                <w:sz w:val="24"/>
                <w:szCs w:val="24"/>
              </w:rPr>
            </w:pPr>
            <w:r w:rsidRPr="001F0D9F">
              <w:rPr>
                <w:sz w:val="24"/>
                <w:szCs w:val="24"/>
              </w:rPr>
              <w:t>0.746</w:t>
            </w:r>
          </w:p>
          <w:p w:rsidR="00852FE5" w:rsidRPr="001F0D9F" w:rsidRDefault="00852FE5" w:rsidP="00852FE5">
            <w:pPr>
              <w:adjustRightInd w:val="0"/>
              <w:spacing w:line="400" w:lineRule="atLeast"/>
              <w:jc w:val="left"/>
              <w:rPr>
                <w:sz w:val="24"/>
                <w:szCs w:val="24"/>
              </w:rPr>
            </w:pPr>
            <w:r w:rsidRPr="001F0D9F">
              <w:rPr>
                <w:sz w:val="24"/>
                <w:szCs w:val="24"/>
              </w:rPr>
              <w:t>0.695</w:t>
            </w:r>
          </w:p>
        </w:tc>
        <w:tc>
          <w:tcPr>
            <w:tcW w:w="1786" w:type="dxa"/>
          </w:tcPr>
          <w:p w:rsidR="00852FE5" w:rsidRPr="001F0D9F" w:rsidRDefault="00852FE5" w:rsidP="00852FE5">
            <w:pPr>
              <w:adjustRightInd w:val="0"/>
              <w:spacing w:line="400" w:lineRule="atLeast"/>
              <w:jc w:val="left"/>
              <w:rPr>
                <w:sz w:val="24"/>
                <w:szCs w:val="24"/>
              </w:rPr>
            </w:pPr>
            <w:r w:rsidRPr="001F0D9F">
              <w:rPr>
                <w:sz w:val="24"/>
                <w:szCs w:val="24"/>
              </w:rPr>
              <w:t>0.730</w:t>
            </w:r>
          </w:p>
        </w:tc>
      </w:tr>
      <w:tr w:rsidR="00852FE5" w:rsidRPr="001F0D9F" w:rsidTr="00852FE5">
        <w:trPr>
          <w:trHeight w:val="3154"/>
          <w:jc w:val="center"/>
        </w:trPr>
        <w:tc>
          <w:tcPr>
            <w:tcW w:w="1822" w:type="dxa"/>
          </w:tcPr>
          <w:p w:rsidR="00852FE5" w:rsidRPr="00852FE5" w:rsidRDefault="00852FE5" w:rsidP="00852FE5">
            <w:pPr>
              <w:adjustRightInd w:val="0"/>
              <w:spacing w:line="400" w:lineRule="atLeast"/>
              <w:rPr>
                <w:i/>
                <w:sz w:val="24"/>
                <w:szCs w:val="24"/>
              </w:rPr>
            </w:pPr>
            <w:r w:rsidRPr="00852FE5">
              <w:rPr>
                <w:i/>
                <w:sz w:val="24"/>
                <w:szCs w:val="24"/>
              </w:rPr>
              <w:t>pro – env intention</w:t>
            </w:r>
          </w:p>
        </w:tc>
        <w:tc>
          <w:tcPr>
            <w:tcW w:w="1800" w:type="dxa"/>
          </w:tcPr>
          <w:p w:rsidR="00852FE5" w:rsidRPr="001F0D9F" w:rsidRDefault="00852FE5" w:rsidP="00852FE5">
            <w:pPr>
              <w:adjustRightInd w:val="0"/>
              <w:spacing w:line="400" w:lineRule="atLeast"/>
              <w:jc w:val="left"/>
              <w:rPr>
                <w:sz w:val="24"/>
                <w:szCs w:val="24"/>
              </w:rPr>
            </w:pPr>
            <w:r w:rsidRPr="001F0D9F">
              <w:rPr>
                <w:sz w:val="24"/>
                <w:szCs w:val="24"/>
              </w:rPr>
              <w:t>PEI 1</w:t>
            </w:r>
          </w:p>
          <w:p w:rsidR="00852FE5" w:rsidRPr="001F0D9F" w:rsidRDefault="00852FE5" w:rsidP="00852FE5">
            <w:pPr>
              <w:adjustRightInd w:val="0"/>
              <w:spacing w:line="400" w:lineRule="atLeast"/>
              <w:jc w:val="left"/>
              <w:rPr>
                <w:sz w:val="24"/>
                <w:szCs w:val="24"/>
              </w:rPr>
            </w:pPr>
            <w:r w:rsidRPr="001F0D9F">
              <w:rPr>
                <w:sz w:val="24"/>
                <w:szCs w:val="24"/>
              </w:rPr>
              <w:t>PEI 2</w:t>
            </w:r>
          </w:p>
          <w:p w:rsidR="00852FE5" w:rsidRPr="001F0D9F" w:rsidRDefault="00852FE5" w:rsidP="00852FE5">
            <w:pPr>
              <w:adjustRightInd w:val="0"/>
              <w:spacing w:line="400" w:lineRule="atLeast"/>
              <w:jc w:val="left"/>
              <w:rPr>
                <w:sz w:val="24"/>
                <w:szCs w:val="24"/>
              </w:rPr>
            </w:pPr>
            <w:r w:rsidRPr="001F0D9F">
              <w:rPr>
                <w:sz w:val="24"/>
                <w:szCs w:val="24"/>
              </w:rPr>
              <w:t>PEI 3</w:t>
            </w:r>
          </w:p>
          <w:p w:rsidR="00852FE5" w:rsidRPr="001F0D9F" w:rsidRDefault="00852FE5" w:rsidP="00852FE5">
            <w:pPr>
              <w:adjustRightInd w:val="0"/>
              <w:spacing w:line="400" w:lineRule="atLeast"/>
              <w:jc w:val="left"/>
              <w:rPr>
                <w:sz w:val="24"/>
                <w:szCs w:val="24"/>
              </w:rPr>
            </w:pPr>
            <w:r w:rsidRPr="001F0D9F">
              <w:rPr>
                <w:sz w:val="24"/>
                <w:szCs w:val="24"/>
              </w:rPr>
              <w:t>PEI 4</w:t>
            </w:r>
          </w:p>
          <w:p w:rsidR="00852FE5" w:rsidRPr="001F0D9F" w:rsidRDefault="00852FE5" w:rsidP="00852FE5">
            <w:pPr>
              <w:adjustRightInd w:val="0"/>
              <w:spacing w:line="400" w:lineRule="atLeast"/>
              <w:jc w:val="left"/>
              <w:rPr>
                <w:sz w:val="24"/>
                <w:szCs w:val="24"/>
              </w:rPr>
            </w:pPr>
            <w:r w:rsidRPr="001F0D9F">
              <w:rPr>
                <w:sz w:val="24"/>
                <w:szCs w:val="24"/>
              </w:rPr>
              <w:t>PEI 5</w:t>
            </w:r>
          </w:p>
          <w:p w:rsidR="00852FE5" w:rsidRPr="001F0D9F" w:rsidRDefault="00852FE5" w:rsidP="00852FE5">
            <w:pPr>
              <w:adjustRightInd w:val="0"/>
              <w:spacing w:line="400" w:lineRule="atLeast"/>
              <w:jc w:val="left"/>
              <w:rPr>
                <w:sz w:val="24"/>
                <w:szCs w:val="24"/>
              </w:rPr>
            </w:pPr>
            <w:r w:rsidRPr="001F0D9F">
              <w:rPr>
                <w:sz w:val="24"/>
                <w:szCs w:val="24"/>
              </w:rPr>
              <w:t>PEI 6</w:t>
            </w:r>
          </w:p>
        </w:tc>
        <w:tc>
          <w:tcPr>
            <w:tcW w:w="2556" w:type="dxa"/>
          </w:tcPr>
          <w:p w:rsidR="00852FE5" w:rsidRPr="001F0D9F" w:rsidRDefault="00852FE5" w:rsidP="00852FE5">
            <w:pPr>
              <w:adjustRightInd w:val="0"/>
              <w:spacing w:line="400" w:lineRule="atLeast"/>
              <w:jc w:val="left"/>
              <w:rPr>
                <w:sz w:val="24"/>
                <w:szCs w:val="24"/>
              </w:rPr>
            </w:pPr>
            <w:r w:rsidRPr="001F0D9F">
              <w:rPr>
                <w:sz w:val="24"/>
                <w:szCs w:val="24"/>
              </w:rPr>
              <w:t>0.517</w:t>
            </w:r>
          </w:p>
          <w:p w:rsidR="00852FE5" w:rsidRPr="001F0D9F" w:rsidRDefault="00852FE5" w:rsidP="00852FE5">
            <w:pPr>
              <w:adjustRightInd w:val="0"/>
              <w:spacing w:line="400" w:lineRule="atLeast"/>
              <w:jc w:val="left"/>
              <w:rPr>
                <w:sz w:val="24"/>
                <w:szCs w:val="24"/>
              </w:rPr>
            </w:pPr>
            <w:r w:rsidRPr="001F0D9F">
              <w:rPr>
                <w:sz w:val="24"/>
                <w:szCs w:val="24"/>
              </w:rPr>
              <w:t>0.572</w:t>
            </w:r>
          </w:p>
          <w:p w:rsidR="00852FE5" w:rsidRPr="001F0D9F" w:rsidRDefault="00852FE5" w:rsidP="00852FE5">
            <w:pPr>
              <w:adjustRightInd w:val="0"/>
              <w:spacing w:line="400" w:lineRule="atLeast"/>
              <w:jc w:val="left"/>
              <w:rPr>
                <w:sz w:val="24"/>
                <w:szCs w:val="24"/>
              </w:rPr>
            </w:pPr>
            <w:r w:rsidRPr="001F0D9F">
              <w:rPr>
                <w:sz w:val="24"/>
                <w:szCs w:val="24"/>
              </w:rPr>
              <w:t>0.702</w:t>
            </w:r>
          </w:p>
          <w:p w:rsidR="00852FE5" w:rsidRPr="001F0D9F" w:rsidRDefault="00852FE5" w:rsidP="00852FE5">
            <w:pPr>
              <w:adjustRightInd w:val="0"/>
              <w:spacing w:line="400" w:lineRule="atLeast"/>
              <w:jc w:val="left"/>
              <w:rPr>
                <w:sz w:val="24"/>
                <w:szCs w:val="24"/>
              </w:rPr>
            </w:pPr>
            <w:r w:rsidRPr="001F0D9F">
              <w:rPr>
                <w:sz w:val="24"/>
                <w:szCs w:val="24"/>
              </w:rPr>
              <w:t>0.585</w:t>
            </w:r>
          </w:p>
          <w:p w:rsidR="00852FE5" w:rsidRPr="001F0D9F" w:rsidRDefault="00852FE5" w:rsidP="00852FE5">
            <w:pPr>
              <w:adjustRightInd w:val="0"/>
              <w:spacing w:line="400" w:lineRule="atLeast"/>
              <w:jc w:val="left"/>
              <w:rPr>
                <w:sz w:val="24"/>
                <w:szCs w:val="24"/>
              </w:rPr>
            </w:pPr>
            <w:r w:rsidRPr="001F0D9F">
              <w:rPr>
                <w:sz w:val="24"/>
                <w:szCs w:val="24"/>
              </w:rPr>
              <w:t>0.675</w:t>
            </w:r>
          </w:p>
          <w:p w:rsidR="00852FE5" w:rsidRPr="001F0D9F" w:rsidRDefault="00852FE5" w:rsidP="00852FE5">
            <w:pPr>
              <w:adjustRightInd w:val="0"/>
              <w:spacing w:line="400" w:lineRule="atLeast"/>
              <w:jc w:val="left"/>
              <w:rPr>
                <w:sz w:val="24"/>
                <w:szCs w:val="24"/>
              </w:rPr>
            </w:pPr>
            <w:r w:rsidRPr="001F0D9F">
              <w:rPr>
                <w:sz w:val="24"/>
                <w:szCs w:val="24"/>
              </w:rPr>
              <w:t>0.720</w:t>
            </w:r>
          </w:p>
        </w:tc>
        <w:tc>
          <w:tcPr>
            <w:tcW w:w="1786" w:type="dxa"/>
          </w:tcPr>
          <w:p w:rsidR="00852FE5" w:rsidRPr="001F0D9F" w:rsidRDefault="00852FE5" w:rsidP="00852FE5">
            <w:pPr>
              <w:adjustRightInd w:val="0"/>
              <w:spacing w:line="400" w:lineRule="atLeast"/>
              <w:jc w:val="left"/>
              <w:rPr>
                <w:sz w:val="24"/>
                <w:szCs w:val="24"/>
              </w:rPr>
            </w:pPr>
            <w:r w:rsidRPr="001F0D9F">
              <w:rPr>
                <w:sz w:val="24"/>
                <w:szCs w:val="24"/>
              </w:rPr>
              <w:t>0.696</w:t>
            </w:r>
          </w:p>
        </w:tc>
      </w:tr>
      <w:tr w:rsidR="00852FE5" w:rsidRPr="001F0D9F" w:rsidTr="00852FE5">
        <w:trPr>
          <w:trHeight w:val="2112"/>
          <w:jc w:val="center"/>
        </w:trPr>
        <w:tc>
          <w:tcPr>
            <w:tcW w:w="1822" w:type="dxa"/>
          </w:tcPr>
          <w:p w:rsidR="00852FE5" w:rsidRPr="00852FE5" w:rsidRDefault="00852FE5" w:rsidP="00852FE5">
            <w:pPr>
              <w:adjustRightInd w:val="0"/>
              <w:spacing w:line="400" w:lineRule="atLeast"/>
              <w:rPr>
                <w:i/>
                <w:sz w:val="24"/>
                <w:szCs w:val="24"/>
              </w:rPr>
            </w:pPr>
            <w:r w:rsidRPr="00852FE5">
              <w:rPr>
                <w:i/>
                <w:sz w:val="24"/>
                <w:szCs w:val="24"/>
              </w:rPr>
              <w:t>Self efeciency</w:t>
            </w:r>
          </w:p>
        </w:tc>
        <w:tc>
          <w:tcPr>
            <w:tcW w:w="1800" w:type="dxa"/>
          </w:tcPr>
          <w:p w:rsidR="00852FE5" w:rsidRPr="001F0D9F" w:rsidRDefault="00852FE5" w:rsidP="00852FE5">
            <w:pPr>
              <w:adjustRightInd w:val="0"/>
              <w:spacing w:line="400" w:lineRule="atLeast"/>
              <w:jc w:val="left"/>
              <w:rPr>
                <w:sz w:val="24"/>
                <w:szCs w:val="24"/>
              </w:rPr>
            </w:pPr>
            <w:r w:rsidRPr="001F0D9F">
              <w:rPr>
                <w:sz w:val="24"/>
                <w:szCs w:val="24"/>
              </w:rPr>
              <w:t>SE 1</w:t>
            </w:r>
          </w:p>
          <w:p w:rsidR="00852FE5" w:rsidRPr="001F0D9F" w:rsidRDefault="00852FE5" w:rsidP="00852FE5">
            <w:pPr>
              <w:adjustRightInd w:val="0"/>
              <w:spacing w:line="400" w:lineRule="atLeast"/>
              <w:jc w:val="left"/>
              <w:rPr>
                <w:sz w:val="24"/>
                <w:szCs w:val="24"/>
              </w:rPr>
            </w:pPr>
            <w:r w:rsidRPr="001F0D9F">
              <w:rPr>
                <w:sz w:val="24"/>
                <w:szCs w:val="24"/>
              </w:rPr>
              <w:t>SE 2</w:t>
            </w:r>
          </w:p>
          <w:p w:rsidR="00852FE5" w:rsidRPr="001F0D9F" w:rsidRDefault="00852FE5" w:rsidP="00852FE5">
            <w:pPr>
              <w:adjustRightInd w:val="0"/>
              <w:spacing w:line="400" w:lineRule="atLeast"/>
              <w:jc w:val="left"/>
              <w:rPr>
                <w:sz w:val="24"/>
                <w:szCs w:val="24"/>
              </w:rPr>
            </w:pPr>
            <w:r w:rsidRPr="001F0D9F">
              <w:rPr>
                <w:sz w:val="24"/>
                <w:szCs w:val="24"/>
              </w:rPr>
              <w:t>SE 3</w:t>
            </w:r>
          </w:p>
          <w:p w:rsidR="00852FE5" w:rsidRPr="001F0D9F" w:rsidRDefault="00852FE5" w:rsidP="00852FE5">
            <w:pPr>
              <w:adjustRightInd w:val="0"/>
              <w:spacing w:line="400" w:lineRule="atLeast"/>
              <w:jc w:val="left"/>
              <w:rPr>
                <w:sz w:val="24"/>
                <w:szCs w:val="24"/>
              </w:rPr>
            </w:pPr>
            <w:r w:rsidRPr="001F0D9F">
              <w:rPr>
                <w:sz w:val="24"/>
                <w:szCs w:val="24"/>
              </w:rPr>
              <w:t>SE 4</w:t>
            </w:r>
          </w:p>
          <w:p w:rsidR="00852FE5" w:rsidRPr="001F0D9F" w:rsidRDefault="00852FE5" w:rsidP="00852FE5">
            <w:pPr>
              <w:adjustRightInd w:val="0"/>
              <w:spacing w:line="400" w:lineRule="atLeast"/>
              <w:jc w:val="left"/>
              <w:rPr>
                <w:sz w:val="24"/>
                <w:szCs w:val="24"/>
              </w:rPr>
            </w:pPr>
            <w:r w:rsidRPr="001F0D9F">
              <w:rPr>
                <w:sz w:val="24"/>
                <w:szCs w:val="24"/>
              </w:rPr>
              <w:t>SE 5</w:t>
            </w:r>
          </w:p>
          <w:p w:rsidR="00852FE5" w:rsidRPr="001F0D9F" w:rsidRDefault="00852FE5" w:rsidP="00852FE5">
            <w:pPr>
              <w:adjustRightInd w:val="0"/>
              <w:spacing w:line="400" w:lineRule="atLeast"/>
              <w:jc w:val="left"/>
              <w:rPr>
                <w:sz w:val="24"/>
                <w:szCs w:val="24"/>
              </w:rPr>
            </w:pPr>
            <w:r w:rsidRPr="001F0D9F">
              <w:rPr>
                <w:sz w:val="24"/>
                <w:szCs w:val="24"/>
              </w:rPr>
              <w:t>SE 6</w:t>
            </w:r>
          </w:p>
          <w:p w:rsidR="00852FE5" w:rsidRPr="001F0D9F" w:rsidRDefault="00852FE5" w:rsidP="00852FE5">
            <w:pPr>
              <w:adjustRightInd w:val="0"/>
              <w:spacing w:line="400" w:lineRule="atLeast"/>
              <w:jc w:val="left"/>
              <w:rPr>
                <w:sz w:val="24"/>
                <w:szCs w:val="24"/>
              </w:rPr>
            </w:pPr>
            <w:r w:rsidRPr="001F0D9F">
              <w:rPr>
                <w:sz w:val="24"/>
                <w:szCs w:val="24"/>
              </w:rPr>
              <w:t xml:space="preserve">SE 7 </w:t>
            </w:r>
          </w:p>
          <w:p w:rsidR="00852FE5" w:rsidRPr="001F0D9F" w:rsidRDefault="00852FE5" w:rsidP="00852FE5">
            <w:pPr>
              <w:adjustRightInd w:val="0"/>
              <w:spacing w:line="400" w:lineRule="atLeast"/>
              <w:jc w:val="left"/>
              <w:rPr>
                <w:sz w:val="24"/>
                <w:szCs w:val="24"/>
              </w:rPr>
            </w:pPr>
            <w:r w:rsidRPr="001F0D9F">
              <w:rPr>
                <w:sz w:val="24"/>
                <w:szCs w:val="24"/>
              </w:rPr>
              <w:t>SE 8</w:t>
            </w:r>
          </w:p>
          <w:p w:rsidR="00852FE5" w:rsidRPr="001F0D9F" w:rsidRDefault="00852FE5" w:rsidP="00852FE5">
            <w:pPr>
              <w:adjustRightInd w:val="0"/>
              <w:spacing w:line="400" w:lineRule="atLeast"/>
              <w:jc w:val="left"/>
              <w:rPr>
                <w:sz w:val="24"/>
                <w:szCs w:val="24"/>
              </w:rPr>
            </w:pPr>
            <w:r w:rsidRPr="001F0D9F">
              <w:rPr>
                <w:sz w:val="24"/>
                <w:szCs w:val="24"/>
              </w:rPr>
              <w:lastRenderedPageBreak/>
              <w:t>SE 9</w:t>
            </w:r>
          </w:p>
        </w:tc>
        <w:tc>
          <w:tcPr>
            <w:tcW w:w="2556" w:type="dxa"/>
          </w:tcPr>
          <w:p w:rsidR="00852FE5" w:rsidRPr="001F0D9F" w:rsidRDefault="00852FE5" w:rsidP="00852FE5">
            <w:pPr>
              <w:adjustRightInd w:val="0"/>
              <w:spacing w:line="400" w:lineRule="atLeast"/>
              <w:jc w:val="left"/>
              <w:rPr>
                <w:sz w:val="24"/>
                <w:szCs w:val="24"/>
              </w:rPr>
            </w:pPr>
            <w:r w:rsidRPr="001F0D9F">
              <w:rPr>
                <w:sz w:val="24"/>
                <w:szCs w:val="24"/>
              </w:rPr>
              <w:lastRenderedPageBreak/>
              <w:t>0.649</w:t>
            </w:r>
          </w:p>
          <w:p w:rsidR="00852FE5" w:rsidRPr="001F0D9F" w:rsidRDefault="00852FE5" w:rsidP="00852FE5">
            <w:pPr>
              <w:adjustRightInd w:val="0"/>
              <w:spacing w:line="400" w:lineRule="atLeast"/>
              <w:jc w:val="left"/>
              <w:rPr>
                <w:sz w:val="24"/>
                <w:szCs w:val="24"/>
              </w:rPr>
            </w:pPr>
            <w:r w:rsidRPr="001F0D9F">
              <w:rPr>
                <w:sz w:val="24"/>
                <w:szCs w:val="24"/>
              </w:rPr>
              <w:t>0.529</w:t>
            </w:r>
          </w:p>
          <w:p w:rsidR="00852FE5" w:rsidRPr="001F0D9F" w:rsidRDefault="00852FE5" w:rsidP="00852FE5">
            <w:pPr>
              <w:adjustRightInd w:val="0"/>
              <w:spacing w:line="400" w:lineRule="atLeast"/>
              <w:jc w:val="left"/>
              <w:rPr>
                <w:sz w:val="24"/>
                <w:szCs w:val="24"/>
              </w:rPr>
            </w:pPr>
            <w:r w:rsidRPr="001F0D9F">
              <w:rPr>
                <w:sz w:val="24"/>
                <w:szCs w:val="24"/>
              </w:rPr>
              <w:t>0.551</w:t>
            </w:r>
          </w:p>
          <w:p w:rsidR="00852FE5" w:rsidRPr="001F0D9F" w:rsidRDefault="00852FE5" w:rsidP="00852FE5">
            <w:pPr>
              <w:adjustRightInd w:val="0"/>
              <w:spacing w:line="400" w:lineRule="atLeast"/>
              <w:jc w:val="left"/>
              <w:rPr>
                <w:sz w:val="24"/>
                <w:szCs w:val="24"/>
              </w:rPr>
            </w:pPr>
            <w:r w:rsidRPr="001F0D9F">
              <w:rPr>
                <w:sz w:val="24"/>
                <w:szCs w:val="24"/>
              </w:rPr>
              <w:t>0.747</w:t>
            </w:r>
          </w:p>
          <w:p w:rsidR="00852FE5" w:rsidRPr="001F0D9F" w:rsidRDefault="00852FE5" w:rsidP="00852FE5">
            <w:pPr>
              <w:adjustRightInd w:val="0"/>
              <w:spacing w:line="400" w:lineRule="atLeast"/>
              <w:jc w:val="left"/>
              <w:rPr>
                <w:sz w:val="24"/>
                <w:szCs w:val="24"/>
              </w:rPr>
            </w:pPr>
            <w:r w:rsidRPr="001F0D9F">
              <w:rPr>
                <w:sz w:val="24"/>
                <w:szCs w:val="24"/>
              </w:rPr>
              <w:t>0.714</w:t>
            </w:r>
          </w:p>
          <w:p w:rsidR="00852FE5" w:rsidRPr="001F0D9F" w:rsidRDefault="00852FE5" w:rsidP="00852FE5">
            <w:pPr>
              <w:adjustRightInd w:val="0"/>
              <w:spacing w:line="400" w:lineRule="atLeast"/>
              <w:jc w:val="left"/>
              <w:rPr>
                <w:sz w:val="24"/>
                <w:szCs w:val="24"/>
              </w:rPr>
            </w:pPr>
            <w:r w:rsidRPr="001F0D9F">
              <w:rPr>
                <w:sz w:val="24"/>
                <w:szCs w:val="24"/>
              </w:rPr>
              <w:t>0.682</w:t>
            </w:r>
          </w:p>
          <w:p w:rsidR="00852FE5" w:rsidRPr="001F0D9F" w:rsidRDefault="00852FE5" w:rsidP="00852FE5">
            <w:pPr>
              <w:adjustRightInd w:val="0"/>
              <w:spacing w:line="400" w:lineRule="atLeast"/>
              <w:jc w:val="left"/>
              <w:rPr>
                <w:sz w:val="24"/>
                <w:szCs w:val="24"/>
              </w:rPr>
            </w:pPr>
            <w:r w:rsidRPr="001F0D9F">
              <w:rPr>
                <w:sz w:val="24"/>
                <w:szCs w:val="24"/>
              </w:rPr>
              <w:t>0.606</w:t>
            </w:r>
          </w:p>
          <w:p w:rsidR="00852FE5" w:rsidRPr="001F0D9F" w:rsidRDefault="00852FE5" w:rsidP="00852FE5">
            <w:pPr>
              <w:adjustRightInd w:val="0"/>
              <w:spacing w:line="400" w:lineRule="atLeast"/>
              <w:jc w:val="left"/>
              <w:rPr>
                <w:sz w:val="24"/>
                <w:szCs w:val="24"/>
              </w:rPr>
            </w:pPr>
            <w:r w:rsidRPr="001F0D9F">
              <w:rPr>
                <w:sz w:val="24"/>
                <w:szCs w:val="24"/>
              </w:rPr>
              <w:t>0.576</w:t>
            </w:r>
          </w:p>
          <w:p w:rsidR="00852FE5" w:rsidRPr="001F0D9F" w:rsidRDefault="00852FE5" w:rsidP="00852FE5">
            <w:pPr>
              <w:adjustRightInd w:val="0"/>
              <w:spacing w:line="400" w:lineRule="atLeast"/>
              <w:jc w:val="left"/>
              <w:rPr>
                <w:sz w:val="24"/>
                <w:szCs w:val="24"/>
              </w:rPr>
            </w:pPr>
            <w:r w:rsidRPr="001F0D9F">
              <w:rPr>
                <w:sz w:val="24"/>
                <w:szCs w:val="24"/>
              </w:rPr>
              <w:lastRenderedPageBreak/>
              <w:t>0.748</w:t>
            </w:r>
          </w:p>
        </w:tc>
        <w:tc>
          <w:tcPr>
            <w:tcW w:w="1786" w:type="dxa"/>
          </w:tcPr>
          <w:p w:rsidR="00852FE5" w:rsidRPr="001F0D9F" w:rsidRDefault="00852FE5" w:rsidP="00852FE5">
            <w:pPr>
              <w:adjustRightInd w:val="0"/>
              <w:spacing w:line="400" w:lineRule="atLeast"/>
              <w:jc w:val="left"/>
              <w:rPr>
                <w:sz w:val="24"/>
                <w:szCs w:val="24"/>
              </w:rPr>
            </w:pPr>
            <w:r w:rsidRPr="001F0D9F">
              <w:rPr>
                <w:sz w:val="24"/>
                <w:szCs w:val="24"/>
              </w:rPr>
              <w:lastRenderedPageBreak/>
              <w:t>0.825</w:t>
            </w:r>
          </w:p>
        </w:tc>
      </w:tr>
      <w:tr w:rsidR="00852FE5" w:rsidRPr="001F0D9F" w:rsidTr="00852FE5">
        <w:trPr>
          <w:trHeight w:val="1016"/>
          <w:jc w:val="center"/>
        </w:trPr>
        <w:tc>
          <w:tcPr>
            <w:tcW w:w="1822" w:type="dxa"/>
          </w:tcPr>
          <w:p w:rsidR="00852FE5" w:rsidRPr="00852FE5" w:rsidRDefault="00852FE5" w:rsidP="00852FE5">
            <w:pPr>
              <w:adjustRightInd w:val="0"/>
              <w:spacing w:line="400" w:lineRule="atLeast"/>
              <w:rPr>
                <w:i/>
                <w:sz w:val="24"/>
                <w:szCs w:val="24"/>
              </w:rPr>
            </w:pPr>
            <w:r w:rsidRPr="00852FE5">
              <w:rPr>
                <w:i/>
                <w:sz w:val="24"/>
                <w:szCs w:val="24"/>
              </w:rPr>
              <w:lastRenderedPageBreak/>
              <w:t>Environmental concern</w:t>
            </w:r>
          </w:p>
        </w:tc>
        <w:tc>
          <w:tcPr>
            <w:tcW w:w="1800" w:type="dxa"/>
          </w:tcPr>
          <w:p w:rsidR="00852FE5" w:rsidRPr="001F0D9F" w:rsidRDefault="00852FE5" w:rsidP="00852FE5">
            <w:pPr>
              <w:adjustRightInd w:val="0"/>
              <w:spacing w:line="400" w:lineRule="atLeast"/>
              <w:jc w:val="left"/>
              <w:rPr>
                <w:sz w:val="24"/>
                <w:szCs w:val="24"/>
              </w:rPr>
            </w:pPr>
            <w:r w:rsidRPr="001F0D9F">
              <w:rPr>
                <w:sz w:val="24"/>
                <w:szCs w:val="24"/>
              </w:rPr>
              <w:t>EC 1</w:t>
            </w:r>
          </w:p>
          <w:p w:rsidR="00852FE5" w:rsidRPr="001F0D9F" w:rsidRDefault="00852FE5" w:rsidP="00852FE5">
            <w:pPr>
              <w:adjustRightInd w:val="0"/>
              <w:spacing w:line="400" w:lineRule="atLeast"/>
              <w:jc w:val="left"/>
              <w:rPr>
                <w:sz w:val="24"/>
                <w:szCs w:val="24"/>
              </w:rPr>
            </w:pPr>
            <w:r w:rsidRPr="001F0D9F">
              <w:rPr>
                <w:sz w:val="24"/>
                <w:szCs w:val="24"/>
              </w:rPr>
              <w:t>EC 2</w:t>
            </w:r>
          </w:p>
          <w:p w:rsidR="00852FE5" w:rsidRPr="001F0D9F" w:rsidRDefault="00852FE5" w:rsidP="00852FE5">
            <w:pPr>
              <w:adjustRightInd w:val="0"/>
              <w:spacing w:line="400" w:lineRule="atLeast"/>
              <w:jc w:val="left"/>
              <w:rPr>
                <w:sz w:val="24"/>
                <w:szCs w:val="24"/>
              </w:rPr>
            </w:pPr>
            <w:r w:rsidRPr="001F0D9F">
              <w:rPr>
                <w:sz w:val="24"/>
                <w:szCs w:val="24"/>
              </w:rPr>
              <w:t>EC 3</w:t>
            </w:r>
          </w:p>
          <w:p w:rsidR="00852FE5" w:rsidRPr="001F0D9F" w:rsidRDefault="00852FE5" w:rsidP="00852FE5">
            <w:pPr>
              <w:adjustRightInd w:val="0"/>
              <w:spacing w:line="400" w:lineRule="atLeast"/>
              <w:jc w:val="left"/>
              <w:rPr>
                <w:sz w:val="24"/>
                <w:szCs w:val="24"/>
              </w:rPr>
            </w:pPr>
            <w:r w:rsidRPr="001F0D9F">
              <w:rPr>
                <w:sz w:val="24"/>
                <w:szCs w:val="24"/>
              </w:rPr>
              <w:t>EC 4</w:t>
            </w:r>
          </w:p>
        </w:tc>
        <w:tc>
          <w:tcPr>
            <w:tcW w:w="2556" w:type="dxa"/>
          </w:tcPr>
          <w:p w:rsidR="00852FE5" w:rsidRPr="001F0D9F" w:rsidRDefault="00852FE5" w:rsidP="00852FE5">
            <w:pPr>
              <w:adjustRightInd w:val="0"/>
              <w:spacing w:line="400" w:lineRule="atLeast"/>
              <w:jc w:val="left"/>
              <w:rPr>
                <w:sz w:val="24"/>
                <w:szCs w:val="24"/>
              </w:rPr>
            </w:pPr>
            <w:r w:rsidRPr="001F0D9F">
              <w:rPr>
                <w:sz w:val="24"/>
                <w:szCs w:val="24"/>
              </w:rPr>
              <w:t>0.707</w:t>
            </w:r>
          </w:p>
          <w:p w:rsidR="00852FE5" w:rsidRPr="001F0D9F" w:rsidRDefault="00852FE5" w:rsidP="00852FE5">
            <w:pPr>
              <w:adjustRightInd w:val="0"/>
              <w:spacing w:line="400" w:lineRule="atLeast"/>
              <w:jc w:val="left"/>
              <w:rPr>
                <w:sz w:val="24"/>
                <w:szCs w:val="24"/>
              </w:rPr>
            </w:pPr>
            <w:r w:rsidRPr="001F0D9F">
              <w:rPr>
                <w:sz w:val="24"/>
                <w:szCs w:val="24"/>
              </w:rPr>
              <w:t>0.779</w:t>
            </w:r>
          </w:p>
          <w:p w:rsidR="00852FE5" w:rsidRPr="001F0D9F" w:rsidRDefault="00852FE5" w:rsidP="00852FE5">
            <w:pPr>
              <w:adjustRightInd w:val="0"/>
              <w:spacing w:line="400" w:lineRule="atLeast"/>
              <w:jc w:val="left"/>
              <w:rPr>
                <w:sz w:val="24"/>
                <w:szCs w:val="24"/>
              </w:rPr>
            </w:pPr>
            <w:r w:rsidRPr="001F0D9F">
              <w:rPr>
                <w:sz w:val="24"/>
                <w:szCs w:val="24"/>
              </w:rPr>
              <w:t>0.710</w:t>
            </w:r>
          </w:p>
          <w:p w:rsidR="00852FE5" w:rsidRPr="001F0D9F" w:rsidRDefault="00852FE5" w:rsidP="00852FE5">
            <w:pPr>
              <w:adjustRightInd w:val="0"/>
              <w:spacing w:line="400" w:lineRule="atLeast"/>
              <w:jc w:val="left"/>
              <w:rPr>
                <w:sz w:val="24"/>
                <w:szCs w:val="24"/>
              </w:rPr>
            </w:pPr>
            <w:r w:rsidRPr="001F0D9F">
              <w:rPr>
                <w:sz w:val="24"/>
                <w:szCs w:val="24"/>
              </w:rPr>
              <w:t>0.773</w:t>
            </w:r>
          </w:p>
        </w:tc>
        <w:tc>
          <w:tcPr>
            <w:tcW w:w="1786" w:type="dxa"/>
          </w:tcPr>
          <w:p w:rsidR="00852FE5" w:rsidRPr="001F0D9F" w:rsidRDefault="00852FE5" w:rsidP="00852FE5">
            <w:pPr>
              <w:adjustRightInd w:val="0"/>
              <w:spacing w:line="400" w:lineRule="atLeast"/>
              <w:jc w:val="left"/>
              <w:rPr>
                <w:sz w:val="24"/>
                <w:szCs w:val="24"/>
              </w:rPr>
            </w:pPr>
            <w:r w:rsidRPr="001F0D9F">
              <w:rPr>
                <w:sz w:val="24"/>
                <w:szCs w:val="24"/>
              </w:rPr>
              <w:t>0.728</w:t>
            </w:r>
          </w:p>
        </w:tc>
      </w:tr>
    </w:tbl>
    <w:p w:rsidR="00852FE5" w:rsidRPr="00852FE5" w:rsidRDefault="00852FE5" w:rsidP="00852FE5">
      <w:pPr>
        <w:ind w:firstLine="720"/>
        <w:rPr>
          <w:rFonts w:eastAsia="Arial Narrow"/>
          <w:bCs/>
        </w:rPr>
      </w:pPr>
      <w:r w:rsidRPr="00852FE5">
        <w:rPr>
          <w:rFonts w:eastAsia="Arial Narrow"/>
          <w:bCs/>
        </w:rPr>
        <w:t>Sumber: Data di olah menggunakan SPSS</w:t>
      </w:r>
    </w:p>
    <w:p w:rsidR="00852FE5" w:rsidRPr="001F0D9F" w:rsidRDefault="00852FE5" w:rsidP="00852FE5">
      <w:pPr>
        <w:rPr>
          <w:rFonts w:eastAsia="Arial Narrow"/>
          <w:sz w:val="24"/>
          <w:szCs w:val="24"/>
        </w:rPr>
      </w:pPr>
    </w:p>
    <w:p w:rsidR="00852FE5" w:rsidRPr="001F0D9F" w:rsidRDefault="00852FE5" w:rsidP="00852FE5">
      <w:pPr>
        <w:ind w:firstLine="720"/>
        <w:rPr>
          <w:rFonts w:eastAsia="Arial Narrow"/>
          <w:sz w:val="24"/>
          <w:szCs w:val="24"/>
        </w:rPr>
      </w:pPr>
      <w:r w:rsidRPr="001F0D9F">
        <w:rPr>
          <w:rFonts w:eastAsia="Arial Narrow"/>
          <w:sz w:val="24"/>
          <w:szCs w:val="24"/>
        </w:rPr>
        <w:t xml:space="preserve">Dari hasil data dari table di atas yang menguji validitas dan reabilitas dapat di simpulkan bahwa hasil </w:t>
      </w:r>
      <w:r w:rsidRPr="00852FE5">
        <w:rPr>
          <w:rFonts w:eastAsia="Arial Narrow"/>
          <w:i/>
          <w:sz w:val="24"/>
          <w:szCs w:val="24"/>
        </w:rPr>
        <w:t>crobanch’s alpha</w:t>
      </w:r>
      <w:r>
        <w:rPr>
          <w:rFonts w:eastAsia="Arial Narrow"/>
          <w:sz w:val="24"/>
          <w:szCs w:val="24"/>
        </w:rPr>
        <w:t xml:space="preserve"> tiap – tiap variable &gt; 0,60</w:t>
      </w:r>
      <w:r w:rsidRPr="001F0D9F">
        <w:rPr>
          <w:rFonts w:eastAsia="Arial Narrow"/>
          <w:sz w:val="24"/>
          <w:szCs w:val="24"/>
        </w:rPr>
        <w:t xml:space="preserve"> yang menunjukkan bahwa </w:t>
      </w:r>
      <w:r w:rsidRPr="00852FE5">
        <w:rPr>
          <w:rFonts w:eastAsia="Arial Narrow"/>
          <w:i/>
          <w:sz w:val="24"/>
          <w:szCs w:val="24"/>
        </w:rPr>
        <w:t>instrument</w:t>
      </w:r>
      <w:r w:rsidRPr="001F0D9F">
        <w:rPr>
          <w:rFonts w:eastAsia="Arial Narrow"/>
          <w:sz w:val="24"/>
          <w:szCs w:val="24"/>
        </w:rPr>
        <w:t xml:space="preserve"> tersebut reliabel dan kemudian hasil dari validitas yang sudah di olah menunjukkan bahwa seluruh </w:t>
      </w:r>
      <w:r>
        <w:rPr>
          <w:rFonts w:eastAsia="Arial Narrow"/>
          <w:sz w:val="24"/>
          <w:szCs w:val="24"/>
        </w:rPr>
        <w:t>indikator memiliki nilai &gt; 0,45 yang menunjukkan bahwa semua pernyataan</w:t>
      </w:r>
      <w:r w:rsidRPr="001F0D9F">
        <w:rPr>
          <w:rFonts w:eastAsia="Arial Narrow"/>
          <w:sz w:val="24"/>
          <w:szCs w:val="24"/>
        </w:rPr>
        <w:t xml:space="preserve"> tepat dalam mengukur variable yang ada.</w:t>
      </w:r>
    </w:p>
    <w:p w:rsidR="00631405" w:rsidRDefault="00631405" w:rsidP="00C84C39">
      <w:pPr>
        <w:ind w:firstLine="720"/>
        <w:jc w:val="center"/>
        <w:rPr>
          <w:b/>
        </w:rPr>
      </w:pPr>
    </w:p>
    <w:p w:rsidR="00631405" w:rsidRDefault="00631405" w:rsidP="00C84C39">
      <w:pPr>
        <w:ind w:firstLine="720"/>
        <w:jc w:val="center"/>
        <w:rPr>
          <w:b/>
        </w:rPr>
      </w:pPr>
    </w:p>
    <w:p w:rsidR="00852FE5" w:rsidRDefault="00852FE5" w:rsidP="00852FE5">
      <w:pPr>
        <w:jc w:val="center"/>
        <w:rPr>
          <w:rFonts w:eastAsia="Arial Narrow"/>
          <w:b/>
          <w:bCs/>
        </w:rPr>
      </w:pPr>
      <w:r>
        <w:rPr>
          <w:rFonts w:eastAsia="Arial Narrow"/>
          <w:b/>
          <w:bCs/>
        </w:rPr>
        <w:t>Tabel</w:t>
      </w:r>
      <w:r w:rsidRPr="001F0D9F">
        <w:rPr>
          <w:rFonts w:eastAsia="Arial Narrow"/>
          <w:b/>
          <w:bCs/>
        </w:rPr>
        <w:t xml:space="preserve"> 3 </w:t>
      </w:r>
    </w:p>
    <w:p w:rsidR="00852FE5" w:rsidRDefault="00852FE5" w:rsidP="00852FE5">
      <w:pPr>
        <w:jc w:val="center"/>
        <w:rPr>
          <w:rFonts w:eastAsia="Arial Narrow"/>
          <w:b/>
          <w:bCs/>
        </w:rPr>
      </w:pPr>
      <w:r>
        <w:rPr>
          <w:rFonts w:eastAsia="Arial Narrow"/>
          <w:b/>
          <w:bCs/>
        </w:rPr>
        <w:t xml:space="preserve">Hasil Uji Hipotesis </w:t>
      </w:r>
    </w:p>
    <w:p w:rsidR="00852FE5" w:rsidRPr="001F0D9F" w:rsidRDefault="00852FE5" w:rsidP="00852FE5">
      <w:pPr>
        <w:jc w:val="center"/>
        <w:rPr>
          <w:rFonts w:eastAsia="Arial Narrow"/>
          <w:b/>
          <w:bCs/>
        </w:rPr>
      </w:pPr>
    </w:p>
    <w:tbl>
      <w:tblPr>
        <w:tblStyle w:val="Normal-Benefit-AwalparagrafChar"/>
        <w:tblW w:w="9218" w:type="dxa"/>
        <w:tblLook w:val="04A0" w:firstRow="1" w:lastRow="0" w:firstColumn="1" w:lastColumn="0" w:noHBand="0" w:noVBand="1"/>
      </w:tblPr>
      <w:tblGrid>
        <w:gridCol w:w="4338"/>
        <w:gridCol w:w="180"/>
        <w:gridCol w:w="1170"/>
        <w:gridCol w:w="360"/>
        <w:gridCol w:w="1170"/>
        <w:gridCol w:w="2000"/>
      </w:tblGrid>
      <w:tr w:rsidR="00852FE5" w:rsidRPr="001F0D9F" w:rsidTr="00852FE5">
        <w:trPr>
          <w:trHeight w:val="552"/>
        </w:trPr>
        <w:tc>
          <w:tcPr>
            <w:tcW w:w="4518" w:type="dxa"/>
            <w:gridSpan w:val="2"/>
            <w:tcBorders>
              <w:top w:val="single" w:sz="4" w:space="0" w:color="auto"/>
              <w:bottom w:val="single" w:sz="4" w:space="0" w:color="auto"/>
            </w:tcBorders>
          </w:tcPr>
          <w:p w:rsidR="00852FE5" w:rsidRPr="001F0D9F" w:rsidRDefault="00852FE5" w:rsidP="0015149D">
            <w:pPr>
              <w:spacing w:line="360" w:lineRule="auto"/>
              <w:jc w:val="center"/>
              <w:rPr>
                <w:b/>
                <w:bCs/>
              </w:rPr>
            </w:pPr>
            <w:r w:rsidRPr="001F0D9F">
              <w:rPr>
                <w:b/>
                <w:bCs/>
              </w:rPr>
              <w:t>Hipotesis</w:t>
            </w:r>
          </w:p>
        </w:tc>
        <w:tc>
          <w:tcPr>
            <w:tcW w:w="1170" w:type="dxa"/>
            <w:tcBorders>
              <w:top w:val="single" w:sz="4" w:space="0" w:color="auto"/>
              <w:bottom w:val="single" w:sz="4" w:space="0" w:color="auto"/>
            </w:tcBorders>
          </w:tcPr>
          <w:p w:rsidR="00852FE5" w:rsidRPr="002F4D73" w:rsidRDefault="00852FE5" w:rsidP="00852FE5">
            <w:pPr>
              <w:spacing w:line="360" w:lineRule="auto"/>
              <w:rPr>
                <w:b/>
                <w:bCs/>
                <w:i/>
              </w:rPr>
            </w:pPr>
            <w:r w:rsidRPr="002F4D73">
              <w:rPr>
                <w:b/>
                <w:bCs/>
                <w:i/>
              </w:rPr>
              <w:t>Estimate</w:t>
            </w:r>
          </w:p>
        </w:tc>
        <w:tc>
          <w:tcPr>
            <w:tcW w:w="1530" w:type="dxa"/>
            <w:gridSpan w:val="2"/>
            <w:tcBorders>
              <w:top w:val="single" w:sz="4" w:space="0" w:color="auto"/>
              <w:bottom w:val="single" w:sz="4" w:space="0" w:color="auto"/>
            </w:tcBorders>
          </w:tcPr>
          <w:p w:rsidR="00852FE5" w:rsidRPr="002F4D73" w:rsidRDefault="00852FE5" w:rsidP="00852FE5">
            <w:pPr>
              <w:spacing w:line="360" w:lineRule="auto"/>
              <w:rPr>
                <w:b/>
                <w:bCs/>
                <w:i/>
              </w:rPr>
            </w:pPr>
            <w:r w:rsidRPr="002F4D73">
              <w:rPr>
                <w:b/>
                <w:bCs/>
                <w:i/>
              </w:rPr>
              <w:t>p-value</w:t>
            </w:r>
          </w:p>
        </w:tc>
        <w:tc>
          <w:tcPr>
            <w:tcW w:w="2000" w:type="dxa"/>
            <w:tcBorders>
              <w:top w:val="single" w:sz="4" w:space="0" w:color="auto"/>
              <w:bottom w:val="single" w:sz="4" w:space="0" w:color="auto"/>
            </w:tcBorders>
          </w:tcPr>
          <w:p w:rsidR="00852FE5" w:rsidRPr="001F0D9F" w:rsidRDefault="00852FE5" w:rsidP="0015149D">
            <w:pPr>
              <w:spacing w:line="360" w:lineRule="auto"/>
              <w:jc w:val="center"/>
              <w:rPr>
                <w:b/>
                <w:bCs/>
              </w:rPr>
            </w:pPr>
            <w:r w:rsidRPr="001F0D9F">
              <w:rPr>
                <w:b/>
                <w:bCs/>
              </w:rPr>
              <w:t>Keputusan</w:t>
            </w:r>
          </w:p>
        </w:tc>
      </w:tr>
      <w:tr w:rsidR="00852FE5" w:rsidRPr="001F0D9F" w:rsidTr="00852FE5">
        <w:trPr>
          <w:trHeight w:val="906"/>
        </w:trPr>
        <w:tc>
          <w:tcPr>
            <w:tcW w:w="4518" w:type="dxa"/>
            <w:gridSpan w:val="2"/>
            <w:tcBorders>
              <w:top w:val="single" w:sz="4" w:space="0" w:color="auto"/>
            </w:tcBorders>
          </w:tcPr>
          <w:p w:rsidR="00852FE5" w:rsidRPr="001F0D9F" w:rsidRDefault="00852FE5" w:rsidP="00852FE5">
            <w:pPr>
              <w:spacing w:line="360" w:lineRule="auto"/>
            </w:pPr>
            <w:bookmarkStart w:id="1" w:name="_Hlk119164699"/>
            <w:r w:rsidRPr="001F0D9F">
              <w:t xml:space="preserve">H1: </w:t>
            </w:r>
            <w:r w:rsidRPr="001F0D9F">
              <w:rPr>
                <w:i/>
                <w:iCs/>
              </w:rPr>
              <w:t xml:space="preserve">Campus advertisement </w:t>
            </w:r>
            <w:r w:rsidRPr="00852FE5">
              <w:rPr>
                <w:iCs/>
              </w:rPr>
              <w:t>tidak memiliki efek positif</w:t>
            </w:r>
            <w:r w:rsidRPr="001F0D9F">
              <w:rPr>
                <w:i/>
                <w:iCs/>
              </w:rPr>
              <w:t xml:space="preserve"> pada Pro env- intension</w:t>
            </w:r>
          </w:p>
        </w:tc>
        <w:tc>
          <w:tcPr>
            <w:tcW w:w="1170" w:type="dxa"/>
            <w:tcBorders>
              <w:top w:val="single" w:sz="4" w:space="0" w:color="auto"/>
            </w:tcBorders>
          </w:tcPr>
          <w:p w:rsidR="00852FE5" w:rsidRPr="001F0D9F" w:rsidRDefault="00852FE5" w:rsidP="00852FE5">
            <w:pPr>
              <w:spacing w:line="360" w:lineRule="auto"/>
              <w:jc w:val="center"/>
            </w:pPr>
            <w:r w:rsidRPr="001F0D9F">
              <w:t>0,131</w:t>
            </w:r>
          </w:p>
        </w:tc>
        <w:tc>
          <w:tcPr>
            <w:tcW w:w="1530" w:type="dxa"/>
            <w:gridSpan w:val="2"/>
            <w:tcBorders>
              <w:top w:val="single" w:sz="4" w:space="0" w:color="auto"/>
            </w:tcBorders>
          </w:tcPr>
          <w:p w:rsidR="00852FE5" w:rsidRPr="001F0D9F" w:rsidRDefault="00852FE5" w:rsidP="00852FE5">
            <w:pPr>
              <w:spacing w:line="360" w:lineRule="auto"/>
              <w:jc w:val="center"/>
            </w:pPr>
            <w:r w:rsidRPr="001F0D9F">
              <w:t>0,195</w:t>
            </w:r>
          </w:p>
        </w:tc>
        <w:tc>
          <w:tcPr>
            <w:tcW w:w="2000" w:type="dxa"/>
            <w:tcBorders>
              <w:top w:val="single" w:sz="4" w:space="0" w:color="auto"/>
            </w:tcBorders>
          </w:tcPr>
          <w:p w:rsidR="00852FE5" w:rsidRPr="002F4D73" w:rsidRDefault="00852FE5" w:rsidP="00852FE5">
            <w:pPr>
              <w:spacing w:line="360" w:lineRule="auto"/>
              <w:jc w:val="center"/>
              <w:rPr>
                <w:iCs/>
              </w:rPr>
            </w:pPr>
            <w:r w:rsidRPr="002F4D73">
              <w:rPr>
                <w:iCs/>
              </w:rPr>
              <w:t>Tidak didukung</w:t>
            </w:r>
          </w:p>
        </w:tc>
      </w:tr>
      <w:bookmarkEnd w:id="1"/>
      <w:tr w:rsidR="00852FE5" w:rsidRPr="001F0D9F" w:rsidTr="00852FE5">
        <w:trPr>
          <w:trHeight w:val="906"/>
        </w:trPr>
        <w:tc>
          <w:tcPr>
            <w:tcW w:w="4518" w:type="dxa"/>
            <w:gridSpan w:val="2"/>
          </w:tcPr>
          <w:p w:rsidR="00852FE5" w:rsidRPr="001F0D9F" w:rsidRDefault="00852FE5" w:rsidP="00852FE5">
            <w:pPr>
              <w:spacing w:line="360" w:lineRule="auto"/>
            </w:pPr>
            <w:r w:rsidRPr="001F0D9F">
              <w:t xml:space="preserve">H2: </w:t>
            </w:r>
            <w:r w:rsidRPr="001F0D9F">
              <w:rPr>
                <w:i/>
                <w:iCs/>
              </w:rPr>
              <w:t xml:space="preserve">Self efeciency </w:t>
            </w:r>
            <w:r w:rsidRPr="00852FE5">
              <w:rPr>
                <w:iCs/>
              </w:rPr>
              <w:t>memediasi</w:t>
            </w:r>
            <w:r w:rsidRPr="001F0D9F">
              <w:rPr>
                <w:i/>
                <w:iCs/>
              </w:rPr>
              <w:t xml:space="preserve"> antara Campus Advertisement </w:t>
            </w:r>
            <w:r w:rsidRPr="00852FE5">
              <w:rPr>
                <w:iCs/>
              </w:rPr>
              <w:t>dan</w:t>
            </w:r>
            <w:r w:rsidRPr="001F0D9F">
              <w:rPr>
                <w:i/>
                <w:iCs/>
              </w:rPr>
              <w:t xml:space="preserve"> Pro env intension</w:t>
            </w:r>
            <w:r w:rsidRPr="001F0D9F">
              <w:t>.</w:t>
            </w:r>
          </w:p>
        </w:tc>
        <w:tc>
          <w:tcPr>
            <w:tcW w:w="1170" w:type="dxa"/>
          </w:tcPr>
          <w:p w:rsidR="00852FE5" w:rsidRPr="001F0D9F" w:rsidRDefault="00852FE5" w:rsidP="00852FE5">
            <w:pPr>
              <w:spacing w:line="360" w:lineRule="auto"/>
              <w:jc w:val="center"/>
            </w:pPr>
            <w:r w:rsidRPr="001F0D9F">
              <w:t>0,812</w:t>
            </w:r>
          </w:p>
        </w:tc>
        <w:tc>
          <w:tcPr>
            <w:tcW w:w="1530" w:type="dxa"/>
            <w:gridSpan w:val="2"/>
          </w:tcPr>
          <w:p w:rsidR="00852FE5" w:rsidRPr="001F0D9F" w:rsidRDefault="00852FE5" w:rsidP="00852FE5">
            <w:pPr>
              <w:spacing w:line="360" w:lineRule="auto"/>
              <w:jc w:val="center"/>
            </w:pPr>
            <w:r w:rsidRPr="001F0D9F">
              <w:t>0,000</w:t>
            </w:r>
          </w:p>
        </w:tc>
        <w:tc>
          <w:tcPr>
            <w:tcW w:w="2000" w:type="dxa"/>
          </w:tcPr>
          <w:p w:rsidR="00852FE5" w:rsidRPr="002F4D73" w:rsidRDefault="00852FE5" w:rsidP="00852FE5">
            <w:pPr>
              <w:spacing w:line="360" w:lineRule="auto"/>
              <w:jc w:val="center"/>
            </w:pPr>
            <w:r w:rsidRPr="002F4D73">
              <w:rPr>
                <w:iCs/>
              </w:rPr>
              <w:t>Didukung</w:t>
            </w:r>
          </w:p>
        </w:tc>
      </w:tr>
      <w:tr w:rsidR="00852FE5" w:rsidRPr="001F0D9F" w:rsidTr="00852FE5">
        <w:trPr>
          <w:trHeight w:val="921"/>
        </w:trPr>
        <w:tc>
          <w:tcPr>
            <w:tcW w:w="4518" w:type="dxa"/>
            <w:gridSpan w:val="2"/>
          </w:tcPr>
          <w:p w:rsidR="00852FE5" w:rsidRPr="001F0D9F" w:rsidRDefault="00852FE5" w:rsidP="00852FE5">
            <w:pPr>
              <w:spacing w:line="360" w:lineRule="auto"/>
            </w:pPr>
            <w:r w:rsidRPr="001F0D9F">
              <w:t xml:space="preserve">H3: </w:t>
            </w:r>
            <w:r w:rsidRPr="001F0D9F">
              <w:rPr>
                <w:i/>
                <w:iCs/>
              </w:rPr>
              <w:t xml:space="preserve">Attribute of responsibility </w:t>
            </w:r>
            <w:r w:rsidRPr="00852FE5">
              <w:rPr>
                <w:iCs/>
              </w:rPr>
              <w:t>memediasi</w:t>
            </w:r>
            <w:r w:rsidRPr="001F0D9F">
              <w:rPr>
                <w:i/>
                <w:iCs/>
              </w:rPr>
              <w:t xml:space="preserve"> Campus Advertisement </w:t>
            </w:r>
            <w:proofErr w:type="gramStart"/>
            <w:r w:rsidRPr="00852FE5">
              <w:rPr>
                <w:iCs/>
              </w:rPr>
              <w:t>dan</w:t>
            </w:r>
            <w:r w:rsidRPr="001F0D9F">
              <w:rPr>
                <w:i/>
                <w:iCs/>
              </w:rPr>
              <w:t xml:space="preserve">  pro</w:t>
            </w:r>
            <w:proofErr w:type="gramEnd"/>
            <w:r w:rsidRPr="001F0D9F">
              <w:rPr>
                <w:i/>
                <w:iCs/>
              </w:rPr>
              <w:t xml:space="preserve"> env intension.</w:t>
            </w:r>
          </w:p>
        </w:tc>
        <w:tc>
          <w:tcPr>
            <w:tcW w:w="1170" w:type="dxa"/>
          </w:tcPr>
          <w:p w:rsidR="00852FE5" w:rsidRPr="001F0D9F" w:rsidRDefault="00852FE5" w:rsidP="00852FE5">
            <w:pPr>
              <w:spacing w:line="360" w:lineRule="auto"/>
              <w:jc w:val="center"/>
            </w:pPr>
            <w:r w:rsidRPr="001F0D9F">
              <w:t>0,626</w:t>
            </w:r>
          </w:p>
        </w:tc>
        <w:tc>
          <w:tcPr>
            <w:tcW w:w="1530" w:type="dxa"/>
            <w:gridSpan w:val="2"/>
          </w:tcPr>
          <w:p w:rsidR="00852FE5" w:rsidRPr="001F0D9F" w:rsidRDefault="00852FE5" w:rsidP="00852FE5">
            <w:pPr>
              <w:spacing w:line="360" w:lineRule="auto"/>
              <w:jc w:val="center"/>
            </w:pPr>
            <w:r w:rsidRPr="001F0D9F">
              <w:t>0,000</w:t>
            </w:r>
          </w:p>
        </w:tc>
        <w:tc>
          <w:tcPr>
            <w:tcW w:w="2000" w:type="dxa"/>
          </w:tcPr>
          <w:p w:rsidR="00852FE5" w:rsidRPr="002F4D73" w:rsidRDefault="00852FE5" w:rsidP="00852FE5">
            <w:pPr>
              <w:spacing w:line="360" w:lineRule="auto"/>
              <w:jc w:val="center"/>
            </w:pPr>
            <w:r w:rsidRPr="002F4D73">
              <w:rPr>
                <w:iCs/>
              </w:rPr>
              <w:t>Didukung</w:t>
            </w:r>
          </w:p>
        </w:tc>
      </w:tr>
      <w:tr w:rsidR="00852FE5" w:rsidRPr="001F0D9F" w:rsidTr="0015149D">
        <w:trPr>
          <w:trHeight w:val="906"/>
        </w:trPr>
        <w:tc>
          <w:tcPr>
            <w:tcW w:w="4338" w:type="dxa"/>
          </w:tcPr>
          <w:p w:rsidR="00852FE5" w:rsidRPr="001F0D9F" w:rsidRDefault="00852FE5" w:rsidP="00852FE5">
            <w:pPr>
              <w:spacing w:line="360" w:lineRule="auto"/>
            </w:pPr>
            <w:r w:rsidRPr="001F0D9F">
              <w:t xml:space="preserve">H4: </w:t>
            </w:r>
            <w:r w:rsidRPr="001F0D9F">
              <w:rPr>
                <w:i/>
                <w:iCs/>
              </w:rPr>
              <w:t xml:space="preserve">Environmental concern </w:t>
            </w:r>
            <w:r w:rsidRPr="00852FE5">
              <w:rPr>
                <w:iCs/>
              </w:rPr>
              <w:t>memediasi</w:t>
            </w:r>
            <w:r w:rsidRPr="001F0D9F">
              <w:rPr>
                <w:i/>
                <w:iCs/>
              </w:rPr>
              <w:t xml:space="preserve"> Attribute of responsibility </w:t>
            </w:r>
            <w:r w:rsidRPr="00852FE5">
              <w:rPr>
                <w:iCs/>
              </w:rPr>
              <w:t>dan</w:t>
            </w:r>
            <w:r w:rsidRPr="001F0D9F">
              <w:rPr>
                <w:i/>
                <w:iCs/>
              </w:rPr>
              <w:t xml:space="preserve"> pro env intension</w:t>
            </w:r>
          </w:p>
        </w:tc>
        <w:tc>
          <w:tcPr>
            <w:tcW w:w="1710" w:type="dxa"/>
            <w:gridSpan w:val="3"/>
          </w:tcPr>
          <w:p w:rsidR="00852FE5" w:rsidRPr="001F0D9F" w:rsidRDefault="00852FE5" w:rsidP="00852FE5">
            <w:pPr>
              <w:spacing w:line="360" w:lineRule="auto"/>
              <w:jc w:val="center"/>
            </w:pPr>
            <w:r w:rsidRPr="001F0D9F">
              <w:t>0,527</w:t>
            </w:r>
          </w:p>
        </w:tc>
        <w:tc>
          <w:tcPr>
            <w:tcW w:w="1170" w:type="dxa"/>
          </w:tcPr>
          <w:p w:rsidR="00852FE5" w:rsidRPr="001F0D9F" w:rsidRDefault="00852FE5" w:rsidP="00852FE5">
            <w:pPr>
              <w:spacing w:line="360" w:lineRule="auto"/>
              <w:jc w:val="center"/>
            </w:pPr>
            <w:r w:rsidRPr="001F0D9F">
              <w:t>0,000</w:t>
            </w:r>
          </w:p>
        </w:tc>
        <w:tc>
          <w:tcPr>
            <w:tcW w:w="2000" w:type="dxa"/>
          </w:tcPr>
          <w:p w:rsidR="00852FE5" w:rsidRPr="002F4D73" w:rsidRDefault="00852FE5" w:rsidP="00852FE5">
            <w:pPr>
              <w:spacing w:line="360" w:lineRule="auto"/>
              <w:jc w:val="center"/>
            </w:pPr>
            <w:r w:rsidRPr="002F4D73">
              <w:rPr>
                <w:iCs/>
              </w:rPr>
              <w:t>Didukung</w:t>
            </w:r>
          </w:p>
        </w:tc>
      </w:tr>
      <w:tr w:rsidR="00852FE5" w:rsidRPr="001F0D9F" w:rsidTr="0015149D">
        <w:trPr>
          <w:trHeight w:val="906"/>
        </w:trPr>
        <w:tc>
          <w:tcPr>
            <w:tcW w:w="4338" w:type="dxa"/>
            <w:tcBorders>
              <w:bottom w:val="single" w:sz="4" w:space="0" w:color="auto"/>
            </w:tcBorders>
          </w:tcPr>
          <w:p w:rsidR="00852FE5" w:rsidRPr="001F0D9F" w:rsidRDefault="00852FE5" w:rsidP="00852FE5">
            <w:pPr>
              <w:spacing w:line="360" w:lineRule="auto"/>
            </w:pPr>
            <w:r w:rsidRPr="001F0D9F">
              <w:t xml:space="preserve">H5: </w:t>
            </w:r>
            <w:r w:rsidRPr="001F0D9F">
              <w:rPr>
                <w:i/>
                <w:iCs/>
              </w:rPr>
              <w:t xml:space="preserve">Atribute of responsibility dan Environmental concern </w:t>
            </w:r>
            <w:r w:rsidRPr="00852FE5">
              <w:rPr>
                <w:iCs/>
              </w:rPr>
              <w:t>secara berurutan memediasi hubungan</w:t>
            </w:r>
            <w:r w:rsidRPr="001F0D9F">
              <w:rPr>
                <w:i/>
                <w:iCs/>
              </w:rPr>
              <w:t xml:space="preserve"> CA </w:t>
            </w:r>
            <w:r w:rsidRPr="00852FE5">
              <w:rPr>
                <w:iCs/>
              </w:rPr>
              <w:t>dan</w:t>
            </w:r>
            <w:r w:rsidRPr="001F0D9F">
              <w:rPr>
                <w:i/>
                <w:iCs/>
              </w:rPr>
              <w:t xml:space="preserve"> Pro Env Intention</w:t>
            </w:r>
          </w:p>
        </w:tc>
        <w:tc>
          <w:tcPr>
            <w:tcW w:w="1710" w:type="dxa"/>
            <w:gridSpan w:val="3"/>
            <w:tcBorders>
              <w:bottom w:val="single" w:sz="4" w:space="0" w:color="auto"/>
            </w:tcBorders>
          </w:tcPr>
          <w:p w:rsidR="00852FE5" w:rsidRPr="001F0D9F" w:rsidRDefault="00852FE5" w:rsidP="00852FE5">
            <w:pPr>
              <w:spacing w:line="360" w:lineRule="auto"/>
              <w:jc w:val="center"/>
            </w:pPr>
            <w:r w:rsidRPr="001F0D9F">
              <w:t>0,082</w:t>
            </w:r>
          </w:p>
        </w:tc>
        <w:tc>
          <w:tcPr>
            <w:tcW w:w="1170" w:type="dxa"/>
            <w:tcBorders>
              <w:bottom w:val="single" w:sz="4" w:space="0" w:color="auto"/>
            </w:tcBorders>
          </w:tcPr>
          <w:p w:rsidR="00852FE5" w:rsidRPr="001F0D9F" w:rsidRDefault="00852FE5" w:rsidP="00852FE5">
            <w:pPr>
              <w:spacing w:line="360" w:lineRule="auto"/>
              <w:jc w:val="center"/>
            </w:pPr>
            <w:r w:rsidRPr="001F0D9F">
              <w:t>0,072</w:t>
            </w:r>
          </w:p>
        </w:tc>
        <w:tc>
          <w:tcPr>
            <w:tcW w:w="2000" w:type="dxa"/>
            <w:tcBorders>
              <w:bottom w:val="single" w:sz="4" w:space="0" w:color="auto"/>
            </w:tcBorders>
          </w:tcPr>
          <w:p w:rsidR="00852FE5" w:rsidRPr="002F4D73" w:rsidRDefault="00852FE5" w:rsidP="00852FE5">
            <w:pPr>
              <w:spacing w:line="360" w:lineRule="auto"/>
              <w:jc w:val="center"/>
            </w:pPr>
            <w:r w:rsidRPr="002F4D73">
              <w:rPr>
                <w:iCs/>
              </w:rPr>
              <w:t>Tidak didukung</w:t>
            </w:r>
          </w:p>
        </w:tc>
      </w:tr>
    </w:tbl>
    <w:p w:rsidR="00852FE5" w:rsidRPr="00852FE5" w:rsidRDefault="00852FE5" w:rsidP="00852FE5">
      <w:pPr>
        <w:rPr>
          <w:rFonts w:eastAsia="Arial Narrow"/>
          <w:bCs/>
        </w:rPr>
      </w:pPr>
      <w:r w:rsidRPr="00852FE5">
        <w:rPr>
          <w:rFonts w:eastAsia="Arial Narrow"/>
          <w:bCs/>
        </w:rPr>
        <w:lastRenderedPageBreak/>
        <w:t>Sumber: data di olah menggunakan AMOS</w:t>
      </w:r>
    </w:p>
    <w:p w:rsidR="00852FE5" w:rsidRDefault="00852FE5" w:rsidP="00852FE5">
      <w:pPr>
        <w:ind w:firstLine="720"/>
        <w:rPr>
          <w:rFonts w:eastAsia="Arial Narrow"/>
        </w:rPr>
      </w:pPr>
      <w:bookmarkStart w:id="2" w:name="_Hlk121228285"/>
    </w:p>
    <w:p w:rsidR="00C84C39" w:rsidRPr="0015149D" w:rsidRDefault="00852FE5" w:rsidP="0015149D">
      <w:pPr>
        <w:ind w:firstLine="720"/>
      </w:pPr>
      <w:r w:rsidRPr="0015149D">
        <w:rPr>
          <w:rFonts w:eastAsia="Arial Narrow"/>
          <w:szCs w:val="22"/>
        </w:rPr>
        <w:t xml:space="preserve">Dapat dilihat dari table 3 di atas bahwa hipotesis pertama tidak berpengaruh positif antara </w:t>
      </w:r>
      <w:r w:rsidRPr="0015149D">
        <w:rPr>
          <w:i/>
          <w:iCs/>
          <w:szCs w:val="22"/>
        </w:rPr>
        <w:t xml:space="preserve">Campus advertisement </w:t>
      </w:r>
      <w:r w:rsidRPr="0015149D">
        <w:rPr>
          <w:szCs w:val="22"/>
        </w:rPr>
        <w:t xml:space="preserve">terhadap </w:t>
      </w:r>
      <w:r w:rsidRPr="0015149D">
        <w:rPr>
          <w:i/>
          <w:iCs/>
          <w:szCs w:val="22"/>
        </w:rPr>
        <w:t xml:space="preserve"> Pro env- intension </w:t>
      </w:r>
      <w:r w:rsidRPr="0015149D">
        <w:rPr>
          <w:szCs w:val="22"/>
        </w:rPr>
        <w:t xml:space="preserve">menghasilkan nilai estimate yang tidak  positif sebesar 0,131 dan P-value 0,195 yang menunjukkan H1 tidak </w:t>
      </w:r>
      <w:r w:rsidR="0015149D" w:rsidRPr="0015149D">
        <w:rPr>
          <w:szCs w:val="22"/>
        </w:rPr>
        <w:t>didukung</w:t>
      </w:r>
      <w:r w:rsidRPr="0015149D">
        <w:rPr>
          <w:szCs w:val="22"/>
        </w:rPr>
        <w:t xml:space="preserve">. </w:t>
      </w:r>
      <w:r w:rsidR="0015149D" w:rsidRPr="0015149D">
        <w:rPr>
          <w:szCs w:val="22"/>
        </w:rPr>
        <w:t>H</w:t>
      </w:r>
      <w:r w:rsidRPr="0015149D">
        <w:rPr>
          <w:szCs w:val="22"/>
        </w:rPr>
        <w:t xml:space="preserve">asil ini tidak serupa dengan penelitian </w:t>
      </w:r>
      <w:bookmarkEnd w:id="2"/>
      <w:r w:rsidR="0015149D" w:rsidRPr="0015149D">
        <w:rPr>
          <w:szCs w:val="22"/>
        </w:rPr>
        <w:fldChar w:fldCharType="begin" w:fldLock="1"/>
      </w:r>
      <w:r w:rsidR="0015149D" w:rsidRPr="0015149D">
        <w:rPr>
          <w:szCs w:val="22"/>
        </w:rPr>
        <w:instrText>ADDIN CSL_CITATION {"citationItems":[{"id":"ITEM-1","itemData":{"DOI":"10.1108/JCM-04-2021-4593","ISBN":"0420214593","ISSN":"07363761","abstract":"Purpose: Promoting sustainable behavior is an elusive task as it is not an innate and natural response of individuals. While a conducive environment that promotes sustainability arguably plays a prominent role in influencing individuals’ belief structure and norms, not much has been done to examine the interplay between environmental, personal and behavioral domains in sustainable consumption. Drawing on the theoretical perspectives of the social cognitive theory (SCT) and value–beliefs–norms (VBN), this study aims to contribute to the literature by proposing an integrated framework that examines sustainable consumption. Design/methodology/approach: This study uses a partial least squares structural equation modeling model based on 313 young consumer responses from an eco-friendly institution in Malaysia. Findings: The findings from this study advance sustainable literature by establishing the multidimensionality concept of the personal domain of SCT. Interestingly, an enabling environment that promotes sustainability was found to be more influential in determining young consumers’ beliefs and norms, as opposed to their competencies. This is demonstrated by the sequential mediation of attribution of responsibility and personal norms on the relationship between campus advertisements and pro-environmental behaviors. Originality/value: Previous research has investigated SCT and VBN as two separate streams of research in examining green behaviors. To the best of our knowledge, this is the first study that integrates SCT and VBN by examining the multidimensionality aspect of the personal construct to provide a more holistic perspective of examining sustainable behaviors.","author":[{"dropping-particle":"","family":"Jahari","given":"Siti Aqilah","non-dropping-particle":"","parse-names":false,"suffix":""},{"dropping-particle":"","family":"Hass","given":"Ashley","non-dropping-particle":"","parse-names":false,"suffix":""},{"dropping-particle":"","family":"Idris","given":"Izian Binti","non-dropping-particle":"","parse-names":false,"suffix":""},{"dropping-particle":"","family":"Joseph","given":"Mathew","non-dropping-particle":"","parse-names":false,"suffix":""}],"container-title":"Journal of Consumer Marketing","id":"ITEM-1","issue":"4","issued":{"date-parts":[["2022"]]},"page":"333-344","title":"An integrated framework examining sustainable green behavior among young consumers","type":"article-journal","volume":"39"},"uris":["http://www.mendeley.com/documents/?uuid=6477c8c3-fc64-4f66-9d56-ac46179305d4"]}],"mendeley":{"formattedCitation":"(Jahari et al., 2022)","plainTextFormattedCitation":"(Jahari et al., 2022)","previouslyFormattedCitation":"(Jahari et al., 2022)"},"properties":{"noteIndex":0},"schema":"https://github.com/citation-style-language/schema/raw/master/csl-citation.json"}</w:instrText>
      </w:r>
      <w:r w:rsidR="0015149D" w:rsidRPr="0015149D">
        <w:rPr>
          <w:szCs w:val="22"/>
        </w:rPr>
        <w:fldChar w:fldCharType="separate"/>
      </w:r>
      <w:r w:rsidR="0015149D" w:rsidRPr="0015149D">
        <w:rPr>
          <w:noProof/>
          <w:szCs w:val="22"/>
        </w:rPr>
        <w:t xml:space="preserve">(Jahari </w:t>
      </w:r>
      <w:r w:rsidR="0015149D" w:rsidRPr="0015149D">
        <w:rPr>
          <w:i/>
          <w:noProof/>
          <w:szCs w:val="22"/>
        </w:rPr>
        <w:t>et al.</w:t>
      </w:r>
      <w:r w:rsidR="0015149D" w:rsidRPr="0015149D">
        <w:rPr>
          <w:noProof/>
          <w:szCs w:val="22"/>
        </w:rPr>
        <w:t>, 2022)</w:t>
      </w:r>
      <w:r w:rsidR="0015149D" w:rsidRPr="0015149D">
        <w:rPr>
          <w:szCs w:val="22"/>
        </w:rPr>
        <w:fldChar w:fldCharType="end"/>
      </w:r>
      <w:r w:rsidR="0015149D" w:rsidRPr="0015149D">
        <w:rPr>
          <w:szCs w:val="22"/>
        </w:rPr>
        <w:t xml:space="preserve">. </w:t>
      </w:r>
      <w:proofErr w:type="gramStart"/>
      <w:r w:rsidR="0015149D" w:rsidRPr="0015149D">
        <w:rPr>
          <w:szCs w:val="22"/>
        </w:rPr>
        <w:t xml:space="preserve">Selanjutnya </w:t>
      </w:r>
      <w:r w:rsidR="0015149D" w:rsidRPr="0015149D">
        <w:rPr>
          <w:rFonts w:eastAsia="Arial Narrow"/>
          <w:szCs w:val="22"/>
        </w:rPr>
        <w:t xml:space="preserve">hipotesis kedua berpengaruh positif antara </w:t>
      </w:r>
      <w:r w:rsidR="0015149D" w:rsidRPr="0015149D">
        <w:rPr>
          <w:i/>
          <w:iCs/>
          <w:szCs w:val="22"/>
        </w:rPr>
        <w:t xml:space="preserve">Campus Advertisement </w:t>
      </w:r>
      <w:r w:rsidR="0015149D" w:rsidRPr="0015149D">
        <w:rPr>
          <w:szCs w:val="22"/>
        </w:rPr>
        <w:t>terhadap</w:t>
      </w:r>
      <w:r w:rsidR="0015149D" w:rsidRPr="0015149D">
        <w:rPr>
          <w:i/>
          <w:iCs/>
          <w:szCs w:val="22"/>
        </w:rPr>
        <w:t xml:space="preserve"> Pro env intension</w:t>
      </w:r>
      <w:r w:rsidR="0015149D" w:rsidRPr="0015149D">
        <w:rPr>
          <w:szCs w:val="22"/>
        </w:rPr>
        <w:t>.menghasilkan nilai estimate yang positif sebesar 0,812 dan P-value 0,000 yang menunjukkan H2 didukung.</w:t>
      </w:r>
      <w:proofErr w:type="gramEnd"/>
      <w:r w:rsidR="0015149D" w:rsidRPr="0015149D">
        <w:rPr>
          <w:szCs w:val="22"/>
        </w:rPr>
        <w:t xml:space="preserve"> Hasil ini sesuai dengan penelitian </w:t>
      </w:r>
      <w:r w:rsidR="0015149D" w:rsidRPr="0015149D">
        <w:rPr>
          <w:szCs w:val="22"/>
        </w:rPr>
        <w:fldChar w:fldCharType="begin" w:fldLock="1"/>
      </w:r>
      <w:r w:rsidR="0015149D">
        <w:rPr>
          <w:szCs w:val="22"/>
        </w:rPr>
        <w:instrText>ADDIN CSL_CITATION {"citationItems":[{"id":"ITEM-1","itemData":{"DOI":"10.1108/JCM-04-2021-4593","ISBN":"0420214593","ISSN":"07363761","abstract":"Purpose: Promoting sustainable behavior is an elusive task as it is not an innate and natural response of individuals. While a conducive environment that promotes sustainability arguably plays a prominent role in influencing individuals’ belief structure and norms, not much has been done to examine the interplay between environmental, personal and behavioral domains in sustainable consumption. Drawing on the theoretical perspectives of the social cognitive theory (SCT) and value–beliefs–norms (VBN), this study aims to contribute to the literature by proposing an integrated framework that examines sustainable consumption. Design/methodology/approach: This study uses a partial least squares structural equation modeling model based on 313 young consumer responses from an eco-friendly institution in Malaysia. Findings: The findings from this study advance sustainable literature by establishing the multidimensionality concept of the personal domain of SCT. Interestingly, an enabling environment that promotes sustainability was found to be more influential in determining young consumers’ beliefs and norms, as opposed to their competencies. This is demonstrated by the sequential mediation of attribution of responsibility and personal norms on the relationship between campus advertisements and pro-environmental behaviors. Originality/value: Previous research has investigated SCT and VBN as two separate streams of research in examining green behaviors. To the best of our knowledge, this is the first study that integrates SCT and VBN by examining the multidimensionality aspect of the personal construct to provide a more holistic perspective of examining sustainable behaviors.","author":[{"dropping-particle":"","family":"Jahari","given":"Siti Aqilah","non-dropping-particle":"","parse-names":false,"suffix":""},{"dropping-particle":"","family":"Hass","given":"Ashley","non-dropping-particle":"","parse-names":false,"suffix":""},{"dropping-particle":"","family":"Idris","given":"Izian Binti","non-dropping-particle":"","parse-names":false,"suffix":""},{"dropping-particle":"","family":"Joseph","given":"Mathew","non-dropping-particle":"","parse-names":false,"suffix":""}],"container-title":"Journal of Consumer Marketing","id":"ITEM-1","issue":"4","issued":{"date-parts":[["2022"]]},"page":"333-344","title":"An integrated framework examining sustainable green behavior among young consumers","type":"article-journal","volume":"39"},"uris":["http://www.mendeley.com/documents/?uuid=6477c8c3-fc64-4f66-9d56-ac46179305d4"]}],"mendeley":{"formattedCitation":"(Jahari et al., 2022)","plainTextFormattedCitation":"(Jahari et al., 2022)","previouslyFormattedCitation":"(Jahari et al., 2022)"},"properties":{"noteIndex":0},"schema":"https://github.com/citation-style-language/schema/raw/master/csl-citation.json"}</w:instrText>
      </w:r>
      <w:r w:rsidR="0015149D" w:rsidRPr="0015149D">
        <w:rPr>
          <w:szCs w:val="22"/>
        </w:rPr>
        <w:fldChar w:fldCharType="separate"/>
      </w:r>
      <w:r w:rsidR="0015149D" w:rsidRPr="0015149D">
        <w:rPr>
          <w:noProof/>
          <w:szCs w:val="22"/>
        </w:rPr>
        <w:t xml:space="preserve">(Jahari </w:t>
      </w:r>
      <w:r w:rsidR="0015149D" w:rsidRPr="0015149D">
        <w:rPr>
          <w:i/>
          <w:noProof/>
          <w:szCs w:val="22"/>
        </w:rPr>
        <w:t>et al.</w:t>
      </w:r>
      <w:r w:rsidR="0015149D" w:rsidRPr="0015149D">
        <w:rPr>
          <w:noProof/>
          <w:szCs w:val="22"/>
        </w:rPr>
        <w:t>, 2022)</w:t>
      </w:r>
      <w:r w:rsidR="0015149D" w:rsidRPr="0015149D">
        <w:rPr>
          <w:szCs w:val="22"/>
        </w:rPr>
        <w:fldChar w:fldCharType="end"/>
      </w:r>
      <w:r w:rsidR="0015149D" w:rsidRPr="0015149D">
        <w:rPr>
          <w:szCs w:val="22"/>
        </w:rPr>
        <w:t xml:space="preserve">. </w:t>
      </w:r>
      <w:r w:rsidR="0015149D">
        <w:rPr>
          <w:rFonts w:eastAsia="Arial Narrow"/>
          <w:szCs w:val="22"/>
        </w:rPr>
        <w:t>H</w:t>
      </w:r>
      <w:r w:rsidR="0015149D" w:rsidRPr="0015149D">
        <w:rPr>
          <w:rFonts w:eastAsia="Arial Narrow"/>
          <w:szCs w:val="22"/>
        </w:rPr>
        <w:t xml:space="preserve">ipotesis ketiga berpengaruh positif antara </w:t>
      </w:r>
      <w:r w:rsidR="0015149D" w:rsidRPr="0015149D">
        <w:rPr>
          <w:i/>
          <w:iCs/>
          <w:szCs w:val="22"/>
        </w:rPr>
        <w:t xml:space="preserve">Campus Advertisement </w:t>
      </w:r>
      <w:proofErr w:type="gramStart"/>
      <w:r w:rsidR="0015149D" w:rsidRPr="0015149D">
        <w:rPr>
          <w:szCs w:val="22"/>
        </w:rPr>
        <w:t>terhadap</w:t>
      </w:r>
      <w:r w:rsidR="0015149D" w:rsidRPr="0015149D">
        <w:rPr>
          <w:i/>
          <w:iCs/>
          <w:szCs w:val="22"/>
        </w:rPr>
        <w:t xml:space="preserve">  pro</w:t>
      </w:r>
      <w:proofErr w:type="gramEnd"/>
      <w:r w:rsidR="0015149D" w:rsidRPr="0015149D">
        <w:rPr>
          <w:i/>
          <w:iCs/>
          <w:szCs w:val="22"/>
        </w:rPr>
        <w:t xml:space="preserve"> env intension </w:t>
      </w:r>
      <w:r w:rsidR="0015149D" w:rsidRPr="0015149D">
        <w:rPr>
          <w:szCs w:val="22"/>
        </w:rPr>
        <w:t xml:space="preserve">menghasilkan nilai estimate yang positif sebesar 0,626 dan P-value 0,000 yang menunjukkan H3 di </w:t>
      </w:r>
      <w:r w:rsidR="0015149D">
        <w:rPr>
          <w:szCs w:val="22"/>
        </w:rPr>
        <w:t>dukung</w:t>
      </w:r>
      <w:r w:rsidR="0015149D" w:rsidRPr="0015149D">
        <w:rPr>
          <w:szCs w:val="22"/>
        </w:rPr>
        <w:t xml:space="preserve">. </w:t>
      </w:r>
      <w:r w:rsidR="0015149D">
        <w:rPr>
          <w:szCs w:val="22"/>
        </w:rPr>
        <w:t>H</w:t>
      </w:r>
      <w:r w:rsidR="0015149D" w:rsidRPr="0015149D">
        <w:rPr>
          <w:szCs w:val="22"/>
        </w:rPr>
        <w:t>asil ini serupa dengan penelitian</w:t>
      </w:r>
      <w:r w:rsidR="0015149D">
        <w:rPr>
          <w:szCs w:val="22"/>
        </w:rPr>
        <w:t xml:space="preserve"> </w:t>
      </w:r>
      <w:r w:rsidR="0015149D">
        <w:rPr>
          <w:szCs w:val="22"/>
        </w:rPr>
        <w:fldChar w:fldCharType="begin" w:fldLock="1"/>
      </w:r>
      <w:r w:rsidR="0015149D">
        <w:rPr>
          <w:szCs w:val="22"/>
        </w:rPr>
        <w:instrText>ADDIN CSL_CITATION {"citationItems":[{"id":"ITEM-1","itemData":{"DOI":"10.1108/JCM-04-2021-4593","ISBN":"0420214593","ISSN":"07363761","abstract":"Purpose: Promoting sustainable behavior is an elusive task as it is not an innate and natural response of individuals. While a conducive environment that promotes sustainability arguably plays a prominent role in influencing individuals’ belief structure and norms, not much has been done to examine the interplay between environmental, personal and behavioral domains in sustainable consumption. Drawing on the theoretical perspectives of the social cognitive theory (SCT) and value–beliefs–norms (VBN), this study aims to contribute to the literature by proposing an integrated framework that examines sustainable consumption. Design/methodology/approach: This study uses a partial least squares structural equation modeling model based on 313 young consumer responses from an eco-friendly institution in Malaysia. Findings: The findings from this study advance sustainable literature by establishing the multidimensionality concept of the personal domain of SCT. Interestingly, an enabling environment that promotes sustainability was found to be more influential in determining young consumers’ beliefs and norms, as opposed to their competencies. This is demonstrated by the sequential mediation of attribution of responsibility and personal norms on the relationship between campus advertisements and pro-environmental behaviors. Originality/value: Previous research has investigated SCT and VBN as two separate streams of research in examining green behaviors. To the best of our knowledge, this is the first study that integrates SCT and VBN by examining the multidimensionality aspect of the personal construct to provide a more holistic perspective of examining sustainable behaviors.","author":[{"dropping-particle":"","family":"Jahari","given":"Siti Aqilah","non-dropping-particle":"","parse-names":false,"suffix":""},{"dropping-particle":"","family":"Hass","given":"Ashley","non-dropping-particle":"","parse-names":false,"suffix":""},{"dropping-particle":"","family":"Idris","given":"Izian Binti","non-dropping-particle":"","parse-names":false,"suffix":""},{"dropping-particle":"","family":"Joseph","given":"Mathew","non-dropping-particle":"","parse-names":false,"suffix":""}],"container-title":"Journal of Consumer Marketing","id":"ITEM-1","issue":"4","issued":{"date-parts":[["2022"]]},"page":"333-344","title":"An integrated framework examining sustainable green behavior among young consumers","type":"article-journal","volume":"39"},"uris":["http://www.mendeley.com/documents/?uuid=6477c8c3-fc64-4f66-9d56-ac46179305d4"]}],"mendeley":{"formattedCitation":"(Jahari et al., 2022)","plainTextFormattedCitation":"(Jahari et al., 2022)","previouslyFormattedCitation":"(Jahari et al., 2022)"},"properties":{"noteIndex":0},"schema":"https://github.com/citation-style-language/schema/raw/master/csl-citation.json"}</w:instrText>
      </w:r>
      <w:r w:rsidR="0015149D">
        <w:rPr>
          <w:szCs w:val="22"/>
        </w:rPr>
        <w:fldChar w:fldCharType="separate"/>
      </w:r>
      <w:r w:rsidR="0015149D" w:rsidRPr="0015149D">
        <w:rPr>
          <w:noProof/>
          <w:szCs w:val="22"/>
        </w:rPr>
        <w:t xml:space="preserve">(Jahari </w:t>
      </w:r>
      <w:r w:rsidR="0015149D" w:rsidRPr="0015149D">
        <w:rPr>
          <w:i/>
          <w:noProof/>
          <w:szCs w:val="22"/>
        </w:rPr>
        <w:t>et al</w:t>
      </w:r>
      <w:r w:rsidR="0015149D" w:rsidRPr="0015149D">
        <w:rPr>
          <w:noProof/>
          <w:szCs w:val="22"/>
        </w:rPr>
        <w:t>., 2022)</w:t>
      </w:r>
      <w:r w:rsidR="0015149D">
        <w:rPr>
          <w:szCs w:val="22"/>
        </w:rPr>
        <w:fldChar w:fldCharType="end"/>
      </w:r>
      <w:r w:rsidR="0015149D" w:rsidRPr="0015149D">
        <w:rPr>
          <w:szCs w:val="22"/>
        </w:rPr>
        <w:t xml:space="preserve">, </w:t>
      </w:r>
      <w:r w:rsidR="0015149D" w:rsidRPr="0015149D">
        <w:rPr>
          <w:rFonts w:eastAsia="Arial Narrow"/>
          <w:szCs w:val="22"/>
        </w:rPr>
        <w:t xml:space="preserve">hipotesis keempat berpengaruh positif antara </w:t>
      </w:r>
      <w:r w:rsidR="0015149D" w:rsidRPr="0015149D">
        <w:rPr>
          <w:i/>
          <w:iCs/>
          <w:szCs w:val="22"/>
        </w:rPr>
        <w:t xml:space="preserve">Attribute of responsibility </w:t>
      </w:r>
      <w:r w:rsidR="0015149D" w:rsidRPr="0015149D">
        <w:rPr>
          <w:szCs w:val="22"/>
        </w:rPr>
        <w:t>terhadap</w:t>
      </w:r>
      <w:r w:rsidR="0015149D" w:rsidRPr="0015149D">
        <w:rPr>
          <w:i/>
          <w:iCs/>
          <w:szCs w:val="22"/>
        </w:rPr>
        <w:t xml:space="preserve"> pro env intension</w:t>
      </w:r>
      <w:r w:rsidR="0015149D" w:rsidRPr="0015149D">
        <w:rPr>
          <w:szCs w:val="22"/>
        </w:rPr>
        <w:t>.menghasilkan nilai estimate yang positif sebesar 0,527 dan P-va</w:t>
      </w:r>
      <w:r w:rsidR="0015149D">
        <w:rPr>
          <w:szCs w:val="22"/>
        </w:rPr>
        <w:t>lue 0,000 yang menunjukkan H4 didukung</w:t>
      </w:r>
      <w:r w:rsidR="0015149D" w:rsidRPr="0015149D">
        <w:rPr>
          <w:szCs w:val="22"/>
        </w:rPr>
        <w:t xml:space="preserve">. </w:t>
      </w:r>
      <w:r w:rsidR="0015149D">
        <w:rPr>
          <w:szCs w:val="22"/>
        </w:rPr>
        <w:t>H</w:t>
      </w:r>
      <w:r w:rsidR="0015149D" w:rsidRPr="0015149D">
        <w:rPr>
          <w:szCs w:val="22"/>
        </w:rPr>
        <w:t>asil ini serupa dengan penelitian</w:t>
      </w:r>
      <w:r w:rsidR="0015149D">
        <w:rPr>
          <w:szCs w:val="22"/>
        </w:rPr>
        <w:t xml:space="preserve"> </w:t>
      </w:r>
      <w:r w:rsidR="0015149D">
        <w:rPr>
          <w:szCs w:val="22"/>
        </w:rPr>
        <w:fldChar w:fldCharType="begin" w:fldLock="1"/>
      </w:r>
      <w:r w:rsidR="0015149D">
        <w:rPr>
          <w:szCs w:val="22"/>
        </w:rPr>
        <w:instrText>ADDIN CSL_CITATION {"citationItems":[{"id":"ITEM-1","itemData":{"DOI":"10.1108/JCM-04-2021-4593","ISBN":"0420214593","ISSN":"07363761","abstract":"Purpose: Promoting sustainable behavior is an elusive task as it is not an innate and natural response of individuals. While a conducive environment that promotes sustainability arguably plays a prominent role in influencing individuals’ belief structure and norms, not much has been done to examine the interplay between environmental, personal and behavioral domains in sustainable consumption. Drawing on the theoretical perspectives of the social cognitive theory (SCT) and value–beliefs–norms (VBN), this study aims to contribute to the literature by proposing an integrated framework that examines sustainable consumption. Design/methodology/approach: This study uses a partial least squares structural equation modeling model based on 313 young consumer responses from an eco-friendly institution in Malaysia. Findings: The findings from this study advance sustainable literature by establishing the multidimensionality concept of the personal domain of SCT. Interestingly, an enabling environment that promotes sustainability was found to be more influential in determining young consumers’ beliefs and norms, as opposed to their competencies. This is demonstrated by the sequential mediation of attribution of responsibility and personal norms on the relationship between campus advertisements and pro-environmental behaviors. Originality/value: Previous research has investigated SCT and VBN as two separate streams of research in examining green behaviors. To the best of our knowledge, this is the first study that integrates SCT and VBN by examining the multidimensionality aspect of the personal construct to provide a more holistic perspective of examining sustainable behaviors.","author":[{"dropping-particle":"","family":"Jahari","given":"Siti Aqilah","non-dropping-particle":"","parse-names":false,"suffix":""},{"dropping-particle":"","family":"Hass","given":"Ashley","non-dropping-particle":"","parse-names":false,"suffix":""},{"dropping-particle":"","family":"Idris","given":"Izian Binti","non-dropping-particle":"","parse-names":false,"suffix":""},{"dropping-particle":"","family":"Joseph","given":"Mathew","non-dropping-particle":"","parse-names":false,"suffix":""}],"container-title":"Journal of Consumer Marketing","id":"ITEM-1","issue":"4","issued":{"date-parts":[["2022"]]},"page":"333-344","title":"An integrated framework examining sustainable green behavior among young consumers","type":"article-journal","volume":"39"},"uris":["http://www.mendeley.com/documents/?uuid=6477c8c3-fc64-4f66-9d56-ac46179305d4"]}],"mendeley":{"formattedCitation":"(Jahari et al., 2022)","plainTextFormattedCitation":"(Jahari et al., 2022)","previouslyFormattedCitation":"(Jahari et al., 2022)"},"properties":{"noteIndex":0},"schema":"https://github.com/citation-style-language/schema/raw/master/csl-citation.json"}</w:instrText>
      </w:r>
      <w:r w:rsidR="0015149D">
        <w:rPr>
          <w:szCs w:val="22"/>
        </w:rPr>
        <w:fldChar w:fldCharType="separate"/>
      </w:r>
      <w:r w:rsidR="0015149D" w:rsidRPr="0015149D">
        <w:rPr>
          <w:noProof/>
          <w:szCs w:val="22"/>
        </w:rPr>
        <w:t xml:space="preserve">(Jahari </w:t>
      </w:r>
      <w:r w:rsidR="0015149D" w:rsidRPr="0015149D">
        <w:rPr>
          <w:i/>
          <w:noProof/>
          <w:szCs w:val="22"/>
        </w:rPr>
        <w:t>et al.</w:t>
      </w:r>
      <w:r w:rsidR="0015149D" w:rsidRPr="0015149D">
        <w:rPr>
          <w:noProof/>
          <w:szCs w:val="22"/>
        </w:rPr>
        <w:t>, 2022)</w:t>
      </w:r>
      <w:r w:rsidR="0015149D">
        <w:rPr>
          <w:szCs w:val="22"/>
        </w:rPr>
        <w:fldChar w:fldCharType="end"/>
      </w:r>
      <w:r w:rsidR="0015149D">
        <w:rPr>
          <w:szCs w:val="22"/>
        </w:rPr>
        <w:t xml:space="preserve"> dan </w:t>
      </w:r>
      <w:r w:rsidR="0015149D" w:rsidRPr="0015149D">
        <w:rPr>
          <w:rFonts w:eastAsia="Arial Narrow"/>
          <w:szCs w:val="22"/>
        </w:rPr>
        <w:t xml:space="preserve">hipotesis kelima tidak berpengaruh positif antara </w:t>
      </w:r>
      <w:r w:rsidR="0015149D" w:rsidRPr="0015149D">
        <w:rPr>
          <w:i/>
          <w:iCs/>
          <w:szCs w:val="22"/>
        </w:rPr>
        <w:t xml:space="preserve">Environmental concern </w:t>
      </w:r>
      <w:r w:rsidR="0015149D" w:rsidRPr="0015149D">
        <w:rPr>
          <w:szCs w:val="22"/>
        </w:rPr>
        <w:t xml:space="preserve">terhadap </w:t>
      </w:r>
      <w:r w:rsidR="0015149D" w:rsidRPr="0015149D">
        <w:rPr>
          <w:i/>
          <w:iCs/>
          <w:szCs w:val="22"/>
        </w:rPr>
        <w:t xml:space="preserve"> Pro env- intension </w:t>
      </w:r>
      <w:r w:rsidR="0015149D" w:rsidRPr="0015149D">
        <w:rPr>
          <w:szCs w:val="22"/>
        </w:rPr>
        <w:t>menghasilkan nilai estimate yang tidak  positif sebesar 0,082 dan P-value 0,072 yang menunjukkan H5 tidak di</w:t>
      </w:r>
      <w:r w:rsidR="0015149D">
        <w:rPr>
          <w:szCs w:val="22"/>
        </w:rPr>
        <w:t>dukung. H</w:t>
      </w:r>
      <w:r w:rsidR="0015149D" w:rsidRPr="0015149D">
        <w:rPr>
          <w:szCs w:val="22"/>
        </w:rPr>
        <w:t xml:space="preserve">asil ini tidak serupa dengan penelitian </w:t>
      </w:r>
      <w:r w:rsidR="0015149D">
        <w:rPr>
          <w:szCs w:val="22"/>
        </w:rPr>
        <w:fldChar w:fldCharType="begin" w:fldLock="1"/>
      </w:r>
      <w:r w:rsidR="0015149D">
        <w:rPr>
          <w:szCs w:val="22"/>
        </w:rPr>
        <w:instrText>ADDIN CSL_CITATION {"citationItems":[{"id":"ITEM-1","itemData":{"abstract":"Penelitian ini dilatarbelakangi oleh adanya permsalahan berbagai kerusakan lingkungan yang muncul serta peningkatan jumlah segmen konsumen yang berorientasikan pada …","author":[{"dropping-particle":"","family":"Lestari","given":"R B","non-dropping-particle":"","parse-names":false,"suffix":""},{"dropping-particle":"","family":"Widagdo","given":"H","non-dropping-particle":"","parse-names":false,"suffix":""}],"container-title":"Adminika","id":"ITEM-1","issue":"2","issued":{"date-parts":[["2019"]]},"page":"16-27","title":"Analisis Perilaku Konsumen Sadar Lingkungan di Palembang","type":"article-journal","volume":"5"},"uris":["http://www.mendeley.com/documents/?uuid=f7f816a1-5e79-4bdb-bb3a-c9a8860a5e16"]}],"mendeley":{"formattedCitation":"(Lestari &amp; Widagdo, 2019)","plainTextFormattedCitation":"(Lestari &amp; Widagdo, 2019)","previouslyFormattedCitation":"(Lestari &amp; Widagdo, 2019)"},"properties":{"noteIndex":0},"schema":"https://github.com/citation-style-language/schema/raw/master/csl-citation.json"}</w:instrText>
      </w:r>
      <w:r w:rsidR="0015149D">
        <w:rPr>
          <w:szCs w:val="22"/>
        </w:rPr>
        <w:fldChar w:fldCharType="separate"/>
      </w:r>
      <w:r w:rsidR="0015149D" w:rsidRPr="0015149D">
        <w:rPr>
          <w:noProof/>
          <w:szCs w:val="22"/>
        </w:rPr>
        <w:t>(Lestari &amp; Widagdo, 2019)</w:t>
      </w:r>
      <w:r w:rsidR="0015149D">
        <w:rPr>
          <w:szCs w:val="22"/>
        </w:rPr>
        <w:fldChar w:fldCharType="end"/>
      </w:r>
      <w:r w:rsidR="0015149D">
        <w:rPr>
          <w:szCs w:val="22"/>
        </w:rPr>
        <w:t xml:space="preserve">. </w:t>
      </w:r>
    </w:p>
    <w:p w:rsidR="00C84C39" w:rsidRPr="00FC4C45" w:rsidRDefault="00C84C39" w:rsidP="00C84C39">
      <w:pPr>
        <w:rPr>
          <w:b/>
        </w:rPr>
      </w:pPr>
    </w:p>
    <w:p w:rsidR="00C84C39" w:rsidRPr="00FC4C45" w:rsidRDefault="00C84C39" w:rsidP="00C84C39">
      <w:pPr>
        <w:rPr>
          <w:b/>
        </w:rPr>
      </w:pPr>
      <w:r w:rsidRPr="00FC4C45">
        <w:rPr>
          <w:b/>
        </w:rPr>
        <w:t>PEMBAHASAN</w:t>
      </w:r>
    </w:p>
    <w:p w:rsidR="0015149D" w:rsidRDefault="00C84C39" w:rsidP="0015149D">
      <w:r w:rsidRPr="00FC4C45">
        <w:rPr>
          <w:bCs/>
        </w:rPr>
        <w:t xml:space="preserve">Hipotesis </w:t>
      </w:r>
      <w:proofErr w:type="gramStart"/>
      <w:r w:rsidRPr="00FC4C45">
        <w:rPr>
          <w:bCs/>
        </w:rPr>
        <w:t>1 :</w:t>
      </w:r>
      <w:proofErr w:type="gramEnd"/>
      <w:r w:rsidRPr="00FC4C45">
        <w:rPr>
          <w:bCs/>
        </w:rPr>
        <w:t xml:space="preserve"> </w:t>
      </w:r>
      <w:r w:rsidR="0015149D" w:rsidRPr="001F0D9F">
        <w:rPr>
          <w:i/>
          <w:iCs/>
          <w:sz w:val="20"/>
        </w:rPr>
        <w:t xml:space="preserve">Campus advertisement </w:t>
      </w:r>
      <w:r w:rsidR="0015149D" w:rsidRPr="00852FE5">
        <w:rPr>
          <w:iCs/>
          <w:sz w:val="20"/>
        </w:rPr>
        <w:t>tidak memiliki efek positif</w:t>
      </w:r>
      <w:r w:rsidR="0015149D" w:rsidRPr="001F0D9F">
        <w:rPr>
          <w:i/>
          <w:iCs/>
          <w:sz w:val="20"/>
        </w:rPr>
        <w:t xml:space="preserve"> </w:t>
      </w:r>
      <w:r w:rsidR="0015149D" w:rsidRPr="0015149D">
        <w:rPr>
          <w:iCs/>
          <w:sz w:val="20"/>
        </w:rPr>
        <w:t>pada</w:t>
      </w:r>
      <w:r w:rsidR="0015149D" w:rsidRPr="001F0D9F">
        <w:rPr>
          <w:i/>
          <w:iCs/>
          <w:sz w:val="20"/>
        </w:rPr>
        <w:t xml:space="preserve"> Pro env- intension</w:t>
      </w:r>
      <w:r w:rsidR="0015149D" w:rsidRPr="00FC4C45">
        <w:t xml:space="preserve"> </w:t>
      </w:r>
    </w:p>
    <w:p w:rsidR="00C84C39" w:rsidRPr="00FC4C45" w:rsidRDefault="00C84C39" w:rsidP="0015149D">
      <w:pPr>
        <w:ind w:firstLine="720"/>
      </w:pPr>
      <w:proofErr w:type="gramStart"/>
      <w:r w:rsidRPr="00FC4C45">
        <w:t xml:space="preserve">Hipotesis pertama pada penelitian ini menguji pengaruh positif </w:t>
      </w:r>
      <w:r w:rsidR="0015149D" w:rsidRPr="001F0D9F">
        <w:rPr>
          <w:i/>
          <w:iCs/>
          <w:sz w:val="20"/>
        </w:rPr>
        <w:t xml:space="preserve">Campus advertisement </w:t>
      </w:r>
      <w:r w:rsidRPr="00FC4C45">
        <w:rPr>
          <w:bCs/>
        </w:rPr>
        <w:t xml:space="preserve">terhadap </w:t>
      </w:r>
      <w:r w:rsidR="0015149D" w:rsidRPr="001F0D9F">
        <w:rPr>
          <w:i/>
          <w:iCs/>
          <w:sz w:val="20"/>
        </w:rPr>
        <w:t>Pro env- intension</w:t>
      </w:r>
      <w:r w:rsidRPr="00FC4C45">
        <w:t>.</w:t>
      </w:r>
      <w:proofErr w:type="gramEnd"/>
      <w:r w:rsidRPr="00FC4C45">
        <w:t xml:space="preserve"> </w:t>
      </w:r>
      <w:proofErr w:type="gramStart"/>
      <w:r w:rsidRPr="00FC4C45">
        <w:t>Berdasarkan hasil pengujian hipotesis 1 dapat disimpulkan bahwa</w:t>
      </w:r>
      <w:r w:rsidR="0015149D">
        <w:t xml:space="preserve"> </w:t>
      </w:r>
      <w:r w:rsidR="0015149D" w:rsidRPr="001F0D9F">
        <w:rPr>
          <w:i/>
          <w:iCs/>
          <w:sz w:val="20"/>
        </w:rPr>
        <w:t xml:space="preserve">Campus advertisement </w:t>
      </w:r>
      <w:r w:rsidR="0015149D">
        <w:rPr>
          <w:iCs/>
          <w:sz w:val="20"/>
        </w:rPr>
        <w:t xml:space="preserve">tidak berpengaruh positif </w:t>
      </w:r>
      <w:r w:rsidR="0015149D" w:rsidRPr="00FC4C45">
        <w:rPr>
          <w:bCs/>
        </w:rPr>
        <w:t xml:space="preserve">terhadap </w:t>
      </w:r>
      <w:r w:rsidR="0015149D" w:rsidRPr="001F0D9F">
        <w:rPr>
          <w:i/>
          <w:iCs/>
          <w:sz w:val="20"/>
        </w:rPr>
        <w:t>Pro env- intension</w:t>
      </w:r>
      <w:r w:rsidR="0015149D">
        <w:t>.</w:t>
      </w:r>
      <w:proofErr w:type="gramEnd"/>
      <w:r w:rsidRPr="00FC4C45">
        <w:t xml:space="preserve"> </w:t>
      </w:r>
      <w:proofErr w:type="gramStart"/>
      <w:r w:rsidRPr="00FC4C45">
        <w:t xml:space="preserve">Hasil ini menunjukan </w:t>
      </w:r>
      <w:r w:rsidR="0015149D">
        <w:t xml:space="preserve">bahwa semakin baik </w:t>
      </w:r>
      <w:r w:rsidR="0015149D" w:rsidRPr="001F0D9F">
        <w:rPr>
          <w:i/>
          <w:iCs/>
          <w:sz w:val="20"/>
        </w:rPr>
        <w:t>Campus advertisement</w:t>
      </w:r>
      <w:r w:rsidR="0015149D">
        <w:rPr>
          <w:i/>
          <w:iCs/>
          <w:sz w:val="20"/>
        </w:rPr>
        <w:t xml:space="preserve"> </w:t>
      </w:r>
      <w:r w:rsidR="0015149D">
        <w:rPr>
          <w:iCs/>
          <w:sz w:val="20"/>
        </w:rPr>
        <w:t xml:space="preserve">belum tentu dapat meningkatkan </w:t>
      </w:r>
      <w:r w:rsidR="0015149D" w:rsidRPr="001F0D9F">
        <w:rPr>
          <w:i/>
          <w:iCs/>
          <w:sz w:val="20"/>
        </w:rPr>
        <w:t>Pro env- intension</w:t>
      </w:r>
      <w:r w:rsidR="0015149D">
        <w:rPr>
          <w:i/>
          <w:iCs/>
          <w:sz w:val="20"/>
        </w:rPr>
        <w:t>.</w:t>
      </w:r>
      <w:proofErr w:type="gramEnd"/>
      <w:r w:rsidR="0015149D">
        <w:rPr>
          <w:i/>
          <w:iCs/>
          <w:sz w:val="20"/>
        </w:rPr>
        <w:t xml:space="preserve"> </w:t>
      </w:r>
    </w:p>
    <w:p w:rsidR="0015149D" w:rsidRDefault="00C84C39" w:rsidP="0015149D">
      <w:r w:rsidRPr="00FC4C45">
        <w:rPr>
          <w:bCs/>
        </w:rPr>
        <w:t xml:space="preserve">Hipotesis </w:t>
      </w:r>
      <w:proofErr w:type="gramStart"/>
      <w:r w:rsidRPr="00FC4C45">
        <w:rPr>
          <w:bCs/>
        </w:rPr>
        <w:t>2 :</w:t>
      </w:r>
      <w:proofErr w:type="gramEnd"/>
      <w:r w:rsidRPr="00FC4C45">
        <w:rPr>
          <w:bCs/>
        </w:rPr>
        <w:t xml:space="preserve"> </w:t>
      </w:r>
      <w:r w:rsidR="0015149D" w:rsidRPr="001F0D9F">
        <w:rPr>
          <w:i/>
          <w:iCs/>
          <w:sz w:val="20"/>
        </w:rPr>
        <w:t xml:space="preserve">Self efeciency </w:t>
      </w:r>
      <w:r w:rsidR="0015149D" w:rsidRPr="00852FE5">
        <w:rPr>
          <w:iCs/>
        </w:rPr>
        <w:t>memediasi</w:t>
      </w:r>
      <w:r w:rsidR="0015149D" w:rsidRPr="001F0D9F">
        <w:rPr>
          <w:i/>
          <w:iCs/>
          <w:sz w:val="20"/>
        </w:rPr>
        <w:t xml:space="preserve"> antara Campus Advertisement </w:t>
      </w:r>
      <w:r w:rsidR="0015149D" w:rsidRPr="00852FE5">
        <w:rPr>
          <w:iCs/>
          <w:sz w:val="20"/>
        </w:rPr>
        <w:t>dan</w:t>
      </w:r>
      <w:r w:rsidR="0015149D" w:rsidRPr="001F0D9F">
        <w:rPr>
          <w:i/>
          <w:iCs/>
          <w:sz w:val="20"/>
        </w:rPr>
        <w:t xml:space="preserve"> Pro env intension</w:t>
      </w:r>
      <w:r w:rsidR="0015149D" w:rsidRPr="00FC4C45">
        <w:t xml:space="preserve"> </w:t>
      </w:r>
    </w:p>
    <w:p w:rsidR="00C84C39" w:rsidRPr="00FC4C45" w:rsidRDefault="00C84C39" w:rsidP="0015149D">
      <w:pPr>
        <w:ind w:firstLine="720"/>
      </w:pPr>
      <w:proofErr w:type="gramStart"/>
      <w:r w:rsidRPr="00FC4C45">
        <w:t>Hipotesis kedua pada penelitian ini menguji</w:t>
      </w:r>
      <w:r w:rsidR="0015149D">
        <w:t xml:space="preserve"> </w:t>
      </w:r>
      <w:r w:rsidR="0015149D" w:rsidRPr="001F0D9F">
        <w:rPr>
          <w:i/>
          <w:iCs/>
          <w:sz w:val="20"/>
        </w:rPr>
        <w:t xml:space="preserve">Self efeciency </w:t>
      </w:r>
      <w:r w:rsidR="0015149D" w:rsidRPr="00852FE5">
        <w:rPr>
          <w:iCs/>
        </w:rPr>
        <w:t>memediasi</w:t>
      </w:r>
      <w:r w:rsidR="0015149D" w:rsidRPr="001F0D9F">
        <w:rPr>
          <w:i/>
          <w:iCs/>
          <w:sz w:val="20"/>
        </w:rPr>
        <w:t xml:space="preserve"> </w:t>
      </w:r>
      <w:r w:rsidR="0015149D" w:rsidRPr="0015149D">
        <w:rPr>
          <w:iCs/>
          <w:sz w:val="20"/>
        </w:rPr>
        <w:t>antara</w:t>
      </w:r>
      <w:r w:rsidR="0015149D" w:rsidRPr="001F0D9F">
        <w:rPr>
          <w:i/>
          <w:iCs/>
          <w:sz w:val="20"/>
        </w:rPr>
        <w:t xml:space="preserve"> Campus Advertisement </w:t>
      </w:r>
      <w:r w:rsidR="0015149D" w:rsidRPr="00852FE5">
        <w:rPr>
          <w:iCs/>
          <w:sz w:val="20"/>
        </w:rPr>
        <w:t>dan</w:t>
      </w:r>
      <w:r w:rsidR="0015149D" w:rsidRPr="001F0D9F">
        <w:rPr>
          <w:i/>
          <w:iCs/>
          <w:sz w:val="20"/>
        </w:rPr>
        <w:t xml:space="preserve"> Pro env intension</w:t>
      </w:r>
      <w:r w:rsidR="0015149D">
        <w:rPr>
          <w:i/>
          <w:iCs/>
          <w:sz w:val="20"/>
        </w:rPr>
        <w:t>.</w:t>
      </w:r>
      <w:proofErr w:type="gramEnd"/>
      <w:r w:rsidRPr="00FC4C45">
        <w:t xml:space="preserve"> Berdasarkan hasil pengujian hipotesis 2 dapat disimpulkan </w:t>
      </w:r>
      <w:r w:rsidR="0015149D" w:rsidRPr="001F0D9F">
        <w:rPr>
          <w:i/>
          <w:iCs/>
          <w:sz w:val="20"/>
        </w:rPr>
        <w:t xml:space="preserve">Self efeciency </w:t>
      </w:r>
      <w:r w:rsidR="0015149D" w:rsidRPr="00852FE5">
        <w:rPr>
          <w:iCs/>
        </w:rPr>
        <w:t>memediasi</w:t>
      </w:r>
      <w:r w:rsidR="0015149D" w:rsidRPr="001F0D9F">
        <w:rPr>
          <w:i/>
          <w:iCs/>
          <w:sz w:val="20"/>
        </w:rPr>
        <w:t xml:space="preserve"> </w:t>
      </w:r>
      <w:r w:rsidR="0015149D" w:rsidRPr="0015149D">
        <w:rPr>
          <w:iCs/>
          <w:sz w:val="20"/>
        </w:rPr>
        <w:t>antara</w:t>
      </w:r>
      <w:r w:rsidR="0015149D" w:rsidRPr="001F0D9F">
        <w:rPr>
          <w:i/>
          <w:iCs/>
          <w:sz w:val="20"/>
        </w:rPr>
        <w:t xml:space="preserve"> Campus Advertisement </w:t>
      </w:r>
      <w:r w:rsidR="0015149D" w:rsidRPr="00852FE5">
        <w:rPr>
          <w:iCs/>
          <w:sz w:val="20"/>
        </w:rPr>
        <w:t>dan</w:t>
      </w:r>
      <w:r w:rsidR="0015149D" w:rsidRPr="001F0D9F">
        <w:rPr>
          <w:i/>
          <w:iCs/>
          <w:sz w:val="20"/>
        </w:rPr>
        <w:t xml:space="preserve"> Pro env </w:t>
      </w:r>
      <w:proofErr w:type="gramStart"/>
      <w:r w:rsidR="0015149D" w:rsidRPr="001F0D9F">
        <w:rPr>
          <w:i/>
          <w:iCs/>
          <w:sz w:val="20"/>
        </w:rPr>
        <w:t>intension</w:t>
      </w:r>
      <w:r w:rsidRPr="00FC4C45">
        <w:t xml:space="preserve">  Hasil</w:t>
      </w:r>
      <w:proofErr w:type="gramEnd"/>
      <w:r w:rsidRPr="00FC4C45">
        <w:t xml:space="preserve"> ini menunjukan</w:t>
      </w:r>
      <w:r w:rsidR="0015149D">
        <w:t xml:space="preserve"> peran </w:t>
      </w:r>
      <w:r w:rsidR="0015149D" w:rsidRPr="001F0D9F">
        <w:rPr>
          <w:i/>
          <w:iCs/>
          <w:sz w:val="20"/>
        </w:rPr>
        <w:t>Self efeciency</w:t>
      </w:r>
      <w:r w:rsidR="0015149D">
        <w:rPr>
          <w:i/>
          <w:iCs/>
          <w:sz w:val="20"/>
        </w:rPr>
        <w:t xml:space="preserve"> </w:t>
      </w:r>
      <w:r w:rsidR="0015149D">
        <w:rPr>
          <w:iCs/>
          <w:sz w:val="20"/>
        </w:rPr>
        <w:t>dalam meningkatkan</w:t>
      </w:r>
      <w:r w:rsidR="0015149D">
        <w:t xml:space="preserve"> </w:t>
      </w:r>
      <w:r w:rsidR="0015149D" w:rsidRPr="001F0D9F">
        <w:rPr>
          <w:i/>
          <w:iCs/>
          <w:sz w:val="20"/>
        </w:rPr>
        <w:t>Campus Advertisement</w:t>
      </w:r>
      <w:r w:rsidR="0015149D">
        <w:rPr>
          <w:i/>
          <w:iCs/>
          <w:sz w:val="20"/>
        </w:rPr>
        <w:t xml:space="preserve"> </w:t>
      </w:r>
      <w:r w:rsidR="0015149D">
        <w:rPr>
          <w:iCs/>
          <w:sz w:val="20"/>
        </w:rPr>
        <w:t xml:space="preserve">dalam menciptakan </w:t>
      </w:r>
      <w:r w:rsidRPr="00FC4C45">
        <w:t xml:space="preserve"> </w:t>
      </w:r>
      <w:r w:rsidR="0015149D">
        <w:rPr>
          <w:i/>
          <w:iCs/>
          <w:sz w:val="20"/>
        </w:rPr>
        <w:t xml:space="preserve">Campus Advertisement. </w:t>
      </w:r>
      <w:r w:rsidRPr="00FC4C45">
        <w:t xml:space="preserve"> </w:t>
      </w:r>
      <w:proofErr w:type="gramStart"/>
      <w:r w:rsidRPr="00FC4C45">
        <w:t>Dari artikel utama saya dapat disimpulkan bahwa pada hipotesis 2 dengan keputusan didukung.</w:t>
      </w:r>
      <w:proofErr w:type="gramEnd"/>
    </w:p>
    <w:p w:rsidR="00C84C39" w:rsidRPr="00FC4C45" w:rsidRDefault="00C84C39" w:rsidP="00C84C39">
      <w:pPr>
        <w:rPr>
          <w:bCs/>
          <w:i/>
          <w:iCs/>
        </w:rPr>
      </w:pPr>
      <w:r w:rsidRPr="00FC4C45">
        <w:rPr>
          <w:bCs/>
        </w:rPr>
        <w:t xml:space="preserve">Hipotesis </w:t>
      </w:r>
      <w:proofErr w:type="gramStart"/>
      <w:r w:rsidRPr="00FC4C45">
        <w:rPr>
          <w:bCs/>
        </w:rPr>
        <w:t>3 :</w:t>
      </w:r>
      <w:proofErr w:type="gramEnd"/>
      <w:r w:rsidRPr="00FC4C45">
        <w:rPr>
          <w:bCs/>
        </w:rPr>
        <w:t xml:space="preserve"> </w:t>
      </w:r>
      <w:r w:rsidR="006D22DC" w:rsidRPr="001F0D9F">
        <w:rPr>
          <w:i/>
          <w:iCs/>
        </w:rPr>
        <w:t xml:space="preserve">Attribute of responsibility </w:t>
      </w:r>
      <w:r w:rsidR="006D22DC" w:rsidRPr="00852FE5">
        <w:rPr>
          <w:iCs/>
        </w:rPr>
        <w:t>memediasi</w:t>
      </w:r>
      <w:r w:rsidR="006D22DC" w:rsidRPr="001F0D9F">
        <w:rPr>
          <w:i/>
          <w:iCs/>
        </w:rPr>
        <w:t xml:space="preserve"> Campus Advertisement </w:t>
      </w:r>
      <w:r w:rsidR="006D22DC" w:rsidRPr="00852FE5">
        <w:rPr>
          <w:iCs/>
        </w:rPr>
        <w:t>dan</w:t>
      </w:r>
      <w:r w:rsidR="006D22DC" w:rsidRPr="001F0D9F">
        <w:rPr>
          <w:i/>
          <w:iCs/>
        </w:rPr>
        <w:t xml:space="preserve">  pro env intension</w:t>
      </w:r>
    </w:p>
    <w:p w:rsidR="00C84C39" w:rsidRPr="006D22DC" w:rsidRDefault="00C84C39" w:rsidP="00C84C39">
      <w:pPr>
        <w:ind w:firstLine="720"/>
      </w:pPr>
      <w:r w:rsidRPr="00FC4C45">
        <w:t xml:space="preserve">Hipotesis ketiga pada penelitian ini menguji </w:t>
      </w:r>
      <w:r w:rsidR="006D22DC" w:rsidRPr="001F0D9F">
        <w:rPr>
          <w:i/>
          <w:iCs/>
        </w:rPr>
        <w:t xml:space="preserve">Attribute of responsibility </w:t>
      </w:r>
      <w:r w:rsidR="006D22DC" w:rsidRPr="00852FE5">
        <w:rPr>
          <w:iCs/>
        </w:rPr>
        <w:t>memediasi</w:t>
      </w:r>
      <w:r w:rsidR="006D22DC" w:rsidRPr="001F0D9F">
        <w:rPr>
          <w:i/>
          <w:iCs/>
        </w:rPr>
        <w:t xml:space="preserve"> Campus Advertisement </w:t>
      </w:r>
      <w:proofErr w:type="gramStart"/>
      <w:r w:rsidR="006D22DC" w:rsidRPr="00852FE5">
        <w:rPr>
          <w:iCs/>
        </w:rPr>
        <w:t>dan</w:t>
      </w:r>
      <w:r w:rsidR="006D22DC" w:rsidRPr="001F0D9F">
        <w:rPr>
          <w:i/>
          <w:iCs/>
        </w:rPr>
        <w:t xml:space="preserve">  pro</w:t>
      </w:r>
      <w:proofErr w:type="gramEnd"/>
      <w:r w:rsidR="006D22DC" w:rsidRPr="001F0D9F">
        <w:rPr>
          <w:i/>
          <w:iCs/>
        </w:rPr>
        <w:t xml:space="preserve"> env intension</w:t>
      </w:r>
      <w:r w:rsidR="006D22DC">
        <w:t xml:space="preserve">. </w:t>
      </w:r>
      <w:r w:rsidRPr="00FC4C45">
        <w:t xml:space="preserve">Berdasarkan hasil pengujian hipotesis 3 dapat disimpulkan </w:t>
      </w:r>
      <w:r w:rsidR="006D22DC" w:rsidRPr="001F0D9F">
        <w:rPr>
          <w:i/>
          <w:iCs/>
        </w:rPr>
        <w:t xml:space="preserve">Attribute of responsibility </w:t>
      </w:r>
      <w:r w:rsidR="006D22DC" w:rsidRPr="00852FE5">
        <w:rPr>
          <w:iCs/>
        </w:rPr>
        <w:t>memediasi</w:t>
      </w:r>
      <w:r w:rsidR="006D22DC" w:rsidRPr="001F0D9F">
        <w:rPr>
          <w:i/>
          <w:iCs/>
        </w:rPr>
        <w:t xml:space="preserve"> Campus Advertisement </w:t>
      </w:r>
      <w:proofErr w:type="gramStart"/>
      <w:r w:rsidR="006D22DC" w:rsidRPr="00852FE5">
        <w:rPr>
          <w:iCs/>
        </w:rPr>
        <w:t>dan</w:t>
      </w:r>
      <w:r w:rsidR="006D22DC">
        <w:rPr>
          <w:i/>
          <w:iCs/>
        </w:rPr>
        <w:t xml:space="preserve">  pro</w:t>
      </w:r>
      <w:proofErr w:type="gramEnd"/>
      <w:r w:rsidR="006D22DC">
        <w:rPr>
          <w:i/>
          <w:iCs/>
        </w:rPr>
        <w:t xml:space="preserve"> env intension. </w:t>
      </w:r>
      <w:proofErr w:type="gramStart"/>
      <w:r w:rsidRPr="00FC4C45">
        <w:t>Hasil ini menunjukan bahwa</w:t>
      </w:r>
      <w:r w:rsidR="006D22DC">
        <w:t xml:space="preserve"> </w:t>
      </w:r>
      <w:r w:rsidR="006D22DC" w:rsidRPr="001F0D9F">
        <w:rPr>
          <w:i/>
          <w:iCs/>
        </w:rPr>
        <w:t>Attribute of responsibility</w:t>
      </w:r>
      <w:r w:rsidRPr="00FC4C45">
        <w:t xml:space="preserve"> </w:t>
      </w:r>
      <w:r w:rsidR="006D22DC">
        <w:t xml:space="preserve">dapat memperkuat </w:t>
      </w:r>
      <w:r w:rsidR="006D22DC" w:rsidRPr="001F0D9F">
        <w:rPr>
          <w:i/>
          <w:iCs/>
        </w:rPr>
        <w:t>Campus Advertisement</w:t>
      </w:r>
      <w:r w:rsidR="006D22DC">
        <w:rPr>
          <w:iCs/>
        </w:rPr>
        <w:t xml:space="preserve"> dalam meningkatkan </w:t>
      </w:r>
      <w:r w:rsidR="006D22DC" w:rsidRPr="001F0D9F">
        <w:rPr>
          <w:i/>
          <w:iCs/>
        </w:rPr>
        <w:t>pro env intension</w:t>
      </w:r>
      <w:r w:rsidR="006D22DC">
        <w:rPr>
          <w:i/>
          <w:iCs/>
        </w:rPr>
        <w:t>.</w:t>
      </w:r>
      <w:proofErr w:type="gramEnd"/>
      <w:r w:rsidR="006D22DC">
        <w:rPr>
          <w:i/>
          <w:iCs/>
        </w:rPr>
        <w:t xml:space="preserve"> </w:t>
      </w:r>
    </w:p>
    <w:p w:rsidR="00C84C39" w:rsidRPr="00FC4C45" w:rsidRDefault="00C84C39" w:rsidP="00C84C39">
      <w:r w:rsidRPr="00FC4C45">
        <w:rPr>
          <w:bCs/>
        </w:rPr>
        <w:t xml:space="preserve">Hipotesis </w:t>
      </w:r>
      <w:proofErr w:type="gramStart"/>
      <w:r w:rsidRPr="00FC4C45">
        <w:rPr>
          <w:bCs/>
        </w:rPr>
        <w:t>4 :</w:t>
      </w:r>
      <w:proofErr w:type="gramEnd"/>
      <w:r w:rsidRPr="00FC4C45">
        <w:rPr>
          <w:bCs/>
        </w:rPr>
        <w:t xml:space="preserve"> </w:t>
      </w:r>
      <w:r w:rsidR="006D22DC" w:rsidRPr="001F0D9F">
        <w:rPr>
          <w:i/>
          <w:iCs/>
        </w:rPr>
        <w:t xml:space="preserve">Environmental concern </w:t>
      </w:r>
      <w:r w:rsidR="006D22DC" w:rsidRPr="00852FE5">
        <w:rPr>
          <w:iCs/>
        </w:rPr>
        <w:t>memediasi</w:t>
      </w:r>
      <w:r w:rsidR="006D22DC" w:rsidRPr="001F0D9F">
        <w:rPr>
          <w:i/>
          <w:iCs/>
        </w:rPr>
        <w:t xml:space="preserve"> Attribute of responsibility </w:t>
      </w:r>
      <w:r w:rsidR="006D22DC" w:rsidRPr="00852FE5">
        <w:rPr>
          <w:iCs/>
        </w:rPr>
        <w:t>dan</w:t>
      </w:r>
      <w:r w:rsidR="006D22DC" w:rsidRPr="001F0D9F">
        <w:rPr>
          <w:i/>
          <w:iCs/>
        </w:rPr>
        <w:t xml:space="preserve"> pro env intension</w:t>
      </w:r>
    </w:p>
    <w:p w:rsidR="00C84C39" w:rsidRDefault="00C84C39" w:rsidP="006D22DC">
      <w:pPr>
        <w:ind w:firstLine="720"/>
        <w:rPr>
          <w:i/>
          <w:iCs/>
        </w:rPr>
      </w:pPr>
      <w:proofErr w:type="gramStart"/>
      <w:r w:rsidRPr="00FC4C45">
        <w:t xml:space="preserve">Hipotesis </w:t>
      </w:r>
      <w:r>
        <w:t>keempat</w:t>
      </w:r>
      <w:r w:rsidRPr="00FC4C45">
        <w:t xml:space="preserve"> pada penelitian ini menguji </w:t>
      </w:r>
      <w:r w:rsidR="006D22DC" w:rsidRPr="001F0D9F">
        <w:rPr>
          <w:i/>
          <w:iCs/>
        </w:rPr>
        <w:t xml:space="preserve">Environmental concern </w:t>
      </w:r>
      <w:r w:rsidR="006D22DC" w:rsidRPr="00852FE5">
        <w:rPr>
          <w:iCs/>
        </w:rPr>
        <w:t>memediasi</w:t>
      </w:r>
      <w:r w:rsidR="006D22DC" w:rsidRPr="001F0D9F">
        <w:rPr>
          <w:i/>
          <w:iCs/>
        </w:rPr>
        <w:t xml:space="preserve"> Attribute of responsibility </w:t>
      </w:r>
      <w:r w:rsidR="006D22DC" w:rsidRPr="00852FE5">
        <w:rPr>
          <w:iCs/>
        </w:rPr>
        <w:t>dan</w:t>
      </w:r>
      <w:r w:rsidR="006D22DC" w:rsidRPr="001F0D9F">
        <w:rPr>
          <w:i/>
          <w:iCs/>
        </w:rPr>
        <w:t xml:space="preserve"> pro env intension</w:t>
      </w:r>
      <w:r w:rsidR="006D22DC">
        <w:t>.</w:t>
      </w:r>
      <w:proofErr w:type="gramEnd"/>
      <w:r w:rsidR="006D22DC">
        <w:t xml:space="preserve"> </w:t>
      </w:r>
      <w:r w:rsidRPr="00FC4C45">
        <w:t>Berdasa</w:t>
      </w:r>
      <w:r>
        <w:t>rkan hasil pengujian hipotesis 4</w:t>
      </w:r>
      <w:r w:rsidRPr="00FC4C45">
        <w:t xml:space="preserve"> dapat disimpulkan </w:t>
      </w:r>
      <w:r w:rsidR="006D22DC" w:rsidRPr="001F0D9F">
        <w:rPr>
          <w:i/>
          <w:iCs/>
        </w:rPr>
        <w:t xml:space="preserve">Environmental concern </w:t>
      </w:r>
      <w:r w:rsidR="006D22DC" w:rsidRPr="00852FE5">
        <w:rPr>
          <w:iCs/>
        </w:rPr>
        <w:t>memediasi</w:t>
      </w:r>
      <w:r w:rsidR="006D22DC" w:rsidRPr="001F0D9F">
        <w:rPr>
          <w:i/>
          <w:iCs/>
        </w:rPr>
        <w:t xml:space="preserve"> Attribute of responsibility </w:t>
      </w:r>
      <w:r w:rsidR="006D22DC" w:rsidRPr="00852FE5">
        <w:rPr>
          <w:iCs/>
        </w:rPr>
        <w:t>dan</w:t>
      </w:r>
      <w:r w:rsidR="006D22DC" w:rsidRPr="001F0D9F">
        <w:rPr>
          <w:i/>
          <w:iCs/>
        </w:rPr>
        <w:t xml:space="preserve"> pro env </w:t>
      </w:r>
      <w:proofErr w:type="gramStart"/>
      <w:r w:rsidR="006D22DC" w:rsidRPr="001F0D9F">
        <w:rPr>
          <w:i/>
          <w:iCs/>
        </w:rPr>
        <w:t>intension</w:t>
      </w:r>
      <w:r w:rsidR="006D22DC" w:rsidRPr="00FC4C45">
        <w:t xml:space="preserve"> </w:t>
      </w:r>
      <w:r w:rsidR="006D22DC">
        <w:t>.</w:t>
      </w:r>
      <w:proofErr w:type="gramEnd"/>
      <w:r w:rsidR="006D22DC">
        <w:t xml:space="preserve"> </w:t>
      </w:r>
      <w:r w:rsidRPr="00FC4C45">
        <w:t xml:space="preserve">Hasil ini menunjukan </w:t>
      </w:r>
      <w:proofErr w:type="gramStart"/>
      <w:r w:rsidRPr="00FC4C45">
        <w:t xml:space="preserve">bahwa </w:t>
      </w:r>
      <w:r>
        <w:t xml:space="preserve"> </w:t>
      </w:r>
      <w:r w:rsidR="006D22DC">
        <w:t>peran</w:t>
      </w:r>
      <w:proofErr w:type="gramEnd"/>
      <w:r w:rsidR="006D22DC">
        <w:t xml:space="preserve"> </w:t>
      </w:r>
      <w:r w:rsidR="006D22DC" w:rsidRPr="001F0D9F">
        <w:rPr>
          <w:i/>
          <w:iCs/>
        </w:rPr>
        <w:t>Environmental concern</w:t>
      </w:r>
      <w:r w:rsidR="006D22DC">
        <w:rPr>
          <w:i/>
          <w:iCs/>
        </w:rPr>
        <w:t xml:space="preserve"> </w:t>
      </w:r>
      <w:r w:rsidR="006D22DC">
        <w:rPr>
          <w:iCs/>
        </w:rPr>
        <w:t xml:space="preserve">dapat meningkatkan  </w:t>
      </w:r>
      <w:r w:rsidR="006D22DC" w:rsidRPr="001F0D9F">
        <w:rPr>
          <w:i/>
          <w:iCs/>
        </w:rPr>
        <w:t>Attribute of responsibility</w:t>
      </w:r>
      <w:r w:rsidR="006D22DC">
        <w:rPr>
          <w:i/>
          <w:iCs/>
        </w:rPr>
        <w:t xml:space="preserve"> </w:t>
      </w:r>
      <w:r w:rsidR="006D22DC">
        <w:rPr>
          <w:iCs/>
        </w:rPr>
        <w:t xml:space="preserve">dalam meningkatkan </w:t>
      </w:r>
      <w:r w:rsidR="006D22DC" w:rsidRPr="001F0D9F">
        <w:rPr>
          <w:i/>
          <w:iCs/>
        </w:rPr>
        <w:t>pro env intension</w:t>
      </w:r>
      <w:r w:rsidR="006D22DC">
        <w:rPr>
          <w:i/>
          <w:iCs/>
        </w:rPr>
        <w:t xml:space="preserve">. </w:t>
      </w:r>
    </w:p>
    <w:p w:rsidR="006D22DC" w:rsidRDefault="006D22DC" w:rsidP="006D22DC">
      <w:pPr>
        <w:rPr>
          <w:i/>
          <w:iCs/>
        </w:rPr>
      </w:pPr>
      <w:r>
        <w:rPr>
          <w:iCs/>
        </w:rPr>
        <w:t xml:space="preserve">Hipotesis </w:t>
      </w:r>
      <w:proofErr w:type="gramStart"/>
      <w:r>
        <w:rPr>
          <w:iCs/>
        </w:rPr>
        <w:t>5 :</w:t>
      </w:r>
      <w:proofErr w:type="gramEnd"/>
      <w:r>
        <w:rPr>
          <w:iCs/>
        </w:rPr>
        <w:t xml:space="preserve"> </w:t>
      </w:r>
      <w:r w:rsidRPr="001F0D9F">
        <w:rPr>
          <w:i/>
          <w:iCs/>
        </w:rPr>
        <w:t xml:space="preserve">Atribute of responsibility dan Environmental concern </w:t>
      </w:r>
      <w:r w:rsidRPr="00852FE5">
        <w:rPr>
          <w:iCs/>
        </w:rPr>
        <w:t>secara berurutan memediasi hubungan</w:t>
      </w:r>
      <w:r w:rsidRPr="001F0D9F">
        <w:rPr>
          <w:i/>
          <w:iCs/>
        </w:rPr>
        <w:t xml:space="preserve"> CA </w:t>
      </w:r>
      <w:r w:rsidRPr="00852FE5">
        <w:rPr>
          <w:iCs/>
        </w:rPr>
        <w:t>dan</w:t>
      </w:r>
      <w:r w:rsidRPr="001F0D9F">
        <w:rPr>
          <w:i/>
          <w:iCs/>
        </w:rPr>
        <w:t xml:space="preserve"> Pro Env</w:t>
      </w:r>
      <w:r>
        <w:rPr>
          <w:i/>
          <w:iCs/>
        </w:rPr>
        <w:t>.</w:t>
      </w:r>
    </w:p>
    <w:p w:rsidR="006D22DC" w:rsidRPr="006D22DC" w:rsidRDefault="006D22DC" w:rsidP="006D22DC">
      <w:r w:rsidRPr="00FC4C45">
        <w:t xml:space="preserve">Hipotesis </w:t>
      </w:r>
      <w:r>
        <w:t>kelima</w:t>
      </w:r>
      <w:r w:rsidRPr="00FC4C45">
        <w:t xml:space="preserve"> pada penelitian ini menguji</w:t>
      </w:r>
      <w:r w:rsidRPr="006D22DC">
        <w:rPr>
          <w:i/>
          <w:iCs/>
        </w:rPr>
        <w:t xml:space="preserve"> </w:t>
      </w:r>
      <w:r w:rsidRPr="001F0D9F">
        <w:rPr>
          <w:i/>
          <w:iCs/>
        </w:rPr>
        <w:t xml:space="preserve">Atribute of responsibility dan Environmental concern </w:t>
      </w:r>
      <w:r w:rsidRPr="00852FE5">
        <w:rPr>
          <w:iCs/>
        </w:rPr>
        <w:t>secara berurutan memediasi hubungan</w:t>
      </w:r>
      <w:r w:rsidRPr="001F0D9F">
        <w:rPr>
          <w:i/>
          <w:iCs/>
        </w:rPr>
        <w:t xml:space="preserve"> CA </w:t>
      </w:r>
      <w:r w:rsidRPr="00852FE5">
        <w:rPr>
          <w:iCs/>
        </w:rPr>
        <w:t>dan</w:t>
      </w:r>
      <w:r w:rsidRPr="001F0D9F">
        <w:rPr>
          <w:i/>
          <w:iCs/>
        </w:rPr>
        <w:t xml:space="preserve"> Pro Env</w:t>
      </w:r>
      <w:r>
        <w:rPr>
          <w:i/>
          <w:iCs/>
        </w:rPr>
        <w:t>.</w:t>
      </w:r>
      <w:r w:rsidRPr="006D22DC">
        <w:rPr>
          <w:iCs/>
        </w:rPr>
        <w:t xml:space="preserve"> Berdasarkan hasil pengujian hipotesis 5 dapat disimpulkan bahwa </w:t>
      </w:r>
      <w:r w:rsidRPr="006D22DC">
        <w:rPr>
          <w:i/>
          <w:iCs/>
        </w:rPr>
        <w:t>Atribute of responsibility</w:t>
      </w:r>
      <w:r w:rsidRPr="006D22DC">
        <w:rPr>
          <w:iCs/>
        </w:rPr>
        <w:t xml:space="preserve"> dan </w:t>
      </w:r>
      <w:r w:rsidRPr="006D22DC">
        <w:rPr>
          <w:i/>
          <w:iCs/>
        </w:rPr>
        <w:t>Environmental concern</w:t>
      </w:r>
      <w:r w:rsidRPr="006D22DC">
        <w:rPr>
          <w:iCs/>
        </w:rPr>
        <w:t xml:space="preserve"> tidak berurutan memediasi CA dan </w:t>
      </w:r>
      <w:r w:rsidRPr="006D22DC">
        <w:rPr>
          <w:i/>
          <w:iCs/>
        </w:rPr>
        <w:t>Pro env intension</w:t>
      </w:r>
      <w:r w:rsidRPr="006D22DC">
        <w:rPr>
          <w:iCs/>
        </w:rPr>
        <w:t xml:space="preserve">. Hasil ini menunjukan bahwa </w:t>
      </w:r>
      <w:r w:rsidRPr="001F0D9F">
        <w:rPr>
          <w:i/>
          <w:iCs/>
        </w:rPr>
        <w:t>Atribute of responsibility dan Environmental concern</w:t>
      </w:r>
      <w:r>
        <w:rPr>
          <w:i/>
          <w:iCs/>
        </w:rPr>
        <w:t xml:space="preserve"> </w:t>
      </w:r>
      <w:r>
        <w:rPr>
          <w:iCs/>
        </w:rPr>
        <w:t xml:space="preserve">belum menjadi penentu dalam meningkatkan </w:t>
      </w:r>
      <w:r w:rsidRPr="006D22DC">
        <w:rPr>
          <w:i/>
          <w:iCs/>
        </w:rPr>
        <w:t>Pro env intension</w:t>
      </w:r>
      <w:r>
        <w:rPr>
          <w:i/>
          <w:iCs/>
        </w:rPr>
        <w:t>.</w:t>
      </w:r>
    </w:p>
    <w:p w:rsidR="00C84C39" w:rsidRDefault="00C84C39" w:rsidP="00C84C39"/>
    <w:p w:rsidR="006D22DC" w:rsidRDefault="006D22DC" w:rsidP="00C84C39">
      <w:pPr>
        <w:rPr>
          <w:b/>
        </w:rPr>
      </w:pPr>
    </w:p>
    <w:p w:rsidR="006D22DC" w:rsidRDefault="006D22DC" w:rsidP="00C84C39">
      <w:pPr>
        <w:rPr>
          <w:b/>
        </w:rPr>
      </w:pPr>
    </w:p>
    <w:p w:rsidR="006D22DC" w:rsidRDefault="006D22DC" w:rsidP="00C84C39">
      <w:pPr>
        <w:rPr>
          <w:b/>
        </w:rPr>
      </w:pPr>
    </w:p>
    <w:p w:rsidR="00C84C39" w:rsidRPr="00FC4C45" w:rsidRDefault="00C84C39" w:rsidP="00C84C39">
      <w:pPr>
        <w:rPr>
          <w:b/>
        </w:rPr>
      </w:pPr>
      <w:r w:rsidRPr="00FC4C45">
        <w:rPr>
          <w:b/>
        </w:rPr>
        <w:t>KESIMPULAN</w:t>
      </w:r>
    </w:p>
    <w:p w:rsidR="006D22DC" w:rsidRPr="001F0D9F" w:rsidRDefault="006D22DC" w:rsidP="006D22DC">
      <w:pPr>
        <w:rPr>
          <w:rStyle w:val="Normal-Benefit-AwalparagrafChar"/>
        </w:rPr>
      </w:pPr>
      <w:proofErr w:type="gramStart"/>
      <w:r w:rsidRPr="001F0D9F">
        <w:rPr>
          <w:rStyle w:val="Normal-Benefit-AwalparagrafChar"/>
        </w:rPr>
        <w:t xml:space="preserve">Penelitian ini menemukan model yang lebih komperhensif dari hubungan </w:t>
      </w:r>
      <w:bookmarkStart w:id="3" w:name="_Hlk119962892"/>
      <w:r w:rsidRPr="001F0D9F">
        <w:rPr>
          <w:rStyle w:val="Normal-Benefit-AwalparagrafChar"/>
          <w:i/>
          <w:iCs/>
        </w:rPr>
        <w:t xml:space="preserve">Green marketing, Sustainable behavior, Social cognitive theory, Values–beliefs–norms, Young consumers, Sequential mediation </w:t>
      </w:r>
      <w:bookmarkEnd w:id="3"/>
      <w:r w:rsidRPr="001F0D9F">
        <w:rPr>
          <w:rStyle w:val="Normal-Benefit-AwalparagrafChar"/>
        </w:rPr>
        <w:t>untuk kalangan mahasiswa di Indonesia.</w:t>
      </w:r>
      <w:proofErr w:type="gramEnd"/>
      <w:r w:rsidRPr="001F0D9F">
        <w:rPr>
          <w:rStyle w:val="Normal-Benefit-AwalparagrafChar"/>
        </w:rPr>
        <w:t xml:space="preserve"> </w:t>
      </w:r>
      <w:proofErr w:type="gramStart"/>
      <w:r w:rsidRPr="001F0D9F">
        <w:rPr>
          <w:rStyle w:val="Normal-Benefit-AwalparagrafChar"/>
        </w:rPr>
        <w:t>Kebaruan  penelitian</w:t>
      </w:r>
      <w:proofErr w:type="gramEnd"/>
      <w:r w:rsidRPr="001F0D9F">
        <w:rPr>
          <w:rStyle w:val="Normal-Benefit-AwalparagrafChar"/>
        </w:rPr>
        <w:t xml:space="preserve"> ini adalah menganalisis pengaruh antara variabel “</w:t>
      </w:r>
      <w:r w:rsidRPr="006D22DC">
        <w:rPr>
          <w:rStyle w:val="Normal-Benefit-AwalparagrafChar"/>
          <w:i/>
        </w:rPr>
        <w:t>Attribute of responsibility</w:t>
      </w:r>
      <w:r w:rsidRPr="001F0D9F">
        <w:rPr>
          <w:rStyle w:val="Normal-Benefit-AwalparagrafChar"/>
        </w:rPr>
        <w:t>” terhadap “</w:t>
      </w:r>
      <w:r w:rsidRPr="006D22DC">
        <w:rPr>
          <w:rStyle w:val="Normal-Benefit-AwalparagrafChar"/>
          <w:i/>
        </w:rPr>
        <w:t>pro – env intention</w:t>
      </w:r>
      <w:r w:rsidRPr="001F0D9F">
        <w:rPr>
          <w:rStyle w:val="Normal-Benefit-AwalparagrafChar"/>
        </w:rPr>
        <w:t>”, karena terdapat</w:t>
      </w:r>
      <w:r>
        <w:rPr>
          <w:rStyle w:val="Normal-Benefit-AwalparagrafChar"/>
        </w:rPr>
        <w:t xml:space="preserve"> </w:t>
      </w:r>
      <w:r w:rsidRPr="001F0D9F">
        <w:rPr>
          <w:rStyle w:val="Normal-Benefit-AwalparagrafChar"/>
        </w:rPr>
        <w:t xml:space="preserve">perbedaan pendapat menurut peneliti sebelumnya yang menyatakan bahwa tidak terdapat pengaruh antara </w:t>
      </w:r>
      <w:r w:rsidRPr="006D22DC">
        <w:rPr>
          <w:rStyle w:val="Normal-Benefit-AwalparagrafChar"/>
          <w:i/>
        </w:rPr>
        <w:t>Attribute of responsibility</w:t>
      </w:r>
      <w:r w:rsidRPr="001F0D9F">
        <w:rPr>
          <w:rStyle w:val="Normal-Benefit-AwalparagrafChar"/>
        </w:rPr>
        <w:t xml:space="preserve"> terhadap </w:t>
      </w:r>
      <w:r w:rsidRPr="006D22DC">
        <w:rPr>
          <w:rStyle w:val="Normal-Benefit-AwalparagrafChar"/>
          <w:i/>
        </w:rPr>
        <w:t>pro – env intention</w:t>
      </w:r>
      <w:r>
        <w:rPr>
          <w:rStyle w:val="Normal-Benefit-AwalparagrafChar"/>
        </w:rPr>
        <w:t>. Penelitian ini juga berusaha</w:t>
      </w:r>
      <w:r w:rsidRPr="001F0D9F">
        <w:rPr>
          <w:rStyle w:val="Normal-Benefit-AwalparagrafChar"/>
        </w:rPr>
        <w:t xml:space="preserve"> menguji kembali dan memasukam variabel “</w:t>
      </w:r>
      <w:r w:rsidRPr="006D22DC">
        <w:rPr>
          <w:rStyle w:val="Normal-Benefit-AwalparagrafChar"/>
          <w:i/>
        </w:rPr>
        <w:t>Environmental concern</w:t>
      </w:r>
      <w:r w:rsidRPr="001F0D9F">
        <w:rPr>
          <w:rStyle w:val="Normal-Benefit-AwalparagrafChar"/>
        </w:rPr>
        <w:t xml:space="preserve">” menjadi variabel mediasinya, yang menurut peneliti </w:t>
      </w:r>
      <w:r>
        <w:rPr>
          <w:rStyle w:val="Normal-Benefit-AwalparagrafChar"/>
        </w:rPr>
        <w:fldChar w:fldCharType="begin" w:fldLock="1"/>
      </w:r>
      <w:r>
        <w:rPr>
          <w:rStyle w:val="Normal-Benefit-AwalparagrafChar"/>
        </w:rPr>
        <w:instrText>ADDIN CSL_CITATION {"citationItems":[{"id":"ITEM-1","itemData":{"abstract":"Penelitian ini dilatarbelakangi oleh adanya permsalahan berbagai kerusakan lingkungan yang muncul serta peningkatan jumlah segmen konsumen yang berorientasikan pada …","author":[{"dropping-particle":"","family":"Lestari","given":"R B","non-dropping-particle":"","parse-names":false,"suffix":""},{"dropping-particle":"","family":"Widagdo","given":"H","non-dropping-particle":"","parse-names":false,"suffix":""}],"container-title":"Adminika","id":"ITEM-1","issue":"2","issued":{"date-parts":[["2019"]]},"page":"16-27","title":"Analisis Perilaku Konsumen Sadar Lingkungan di Palembang","type":"article-journal","volume":"5"},"uris":["http://www.mendeley.com/documents/?uuid=f7f816a1-5e79-4bdb-bb3a-c9a8860a5e16"]}],"mendeley":{"formattedCitation":"(Lestari &amp; Widagdo, 2019)","plainTextFormattedCitation":"(Lestari &amp; Widagdo, 2019)"},"properties":{"noteIndex":0},"schema":"https://github.com/citation-style-language/schema/raw/master/csl-citation.json"}</w:instrText>
      </w:r>
      <w:r>
        <w:rPr>
          <w:rStyle w:val="Normal-Benefit-AwalparagrafChar"/>
        </w:rPr>
        <w:fldChar w:fldCharType="separate"/>
      </w:r>
      <w:r w:rsidRPr="006D22DC">
        <w:rPr>
          <w:rStyle w:val="Normal-Benefit-AwalparagrafChar"/>
          <w:noProof/>
        </w:rPr>
        <w:t>(Lestari &amp; Widagdo, 2019)</w:t>
      </w:r>
      <w:r>
        <w:rPr>
          <w:rStyle w:val="Normal-Benefit-AwalparagrafChar"/>
        </w:rPr>
        <w:fldChar w:fldCharType="end"/>
      </w:r>
      <w:r>
        <w:rPr>
          <w:rStyle w:val="Normal-Benefit-AwalparagrafChar"/>
        </w:rPr>
        <w:t xml:space="preserve"> </w:t>
      </w:r>
      <w:r w:rsidRPr="001F0D9F">
        <w:rPr>
          <w:rStyle w:val="Normal-Benefit-AwalparagrafChar"/>
        </w:rPr>
        <w:t xml:space="preserve"> bahwa </w:t>
      </w:r>
      <w:r w:rsidRPr="006D22DC">
        <w:rPr>
          <w:rStyle w:val="Normal-Benefit-AwalparagrafChar"/>
          <w:i/>
        </w:rPr>
        <w:t>Environmental concern</w:t>
      </w:r>
      <w:r w:rsidRPr="001F0D9F">
        <w:rPr>
          <w:rStyle w:val="Normal-Benefit-AwalparagrafChar"/>
        </w:rPr>
        <w:t xml:space="preserve"> berpengaruh positif terhadap </w:t>
      </w:r>
      <w:r w:rsidRPr="006D22DC">
        <w:rPr>
          <w:rStyle w:val="Normal-Benefit-AwalparagrafChar"/>
          <w:i/>
        </w:rPr>
        <w:t>pro – env intention</w:t>
      </w:r>
      <w:r w:rsidRPr="001F0D9F">
        <w:rPr>
          <w:rStyle w:val="Normal-Benefit-AwalparagrafChar"/>
        </w:rPr>
        <w:t xml:space="preserve">, tetapi setelah di uji </w:t>
      </w:r>
      <w:r w:rsidRPr="006D22DC">
        <w:rPr>
          <w:rStyle w:val="Normal-Benefit-AwalparagrafChar"/>
          <w:i/>
        </w:rPr>
        <w:t>Environmental concern</w:t>
      </w:r>
      <w:r w:rsidRPr="001F0D9F">
        <w:rPr>
          <w:rStyle w:val="Normal-Benefit-AwalparagrafChar"/>
        </w:rPr>
        <w:t xml:space="preserve"> tidak  berpengaruh positif terhadap </w:t>
      </w:r>
      <w:r w:rsidRPr="006D22DC">
        <w:rPr>
          <w:rStyle w:val="Normal-Benefit-AwalparagrafChar"/>
          <w:i/>
        </w:rPr>
        <w:t>pro – env intention</w:t>
      </w:r>
      <w:r w:rsidRPr="001F0D9F">
        <w:rPr>
          <w:rStyle w:val="Normal-Benefit-AwalparagrafChar"/>
        </w:rPr>
        <w:t xml:space="preserve">. </w:t>
      </w:r>
      <w:proofErr w:type="gramStart"/>
      <w:r w:rsidRPr="001F0D9F">
        <w:rPr>
          <w:rStyle w:val="Normal-Benefit-AwalparagrafChar"/>
        </w:rPr>
        <w:t>Tujuan utama penelitian ini adalah untuk mengkaji keterlibatan politik kaum milenial dengan penggunaan media sosial.</w:t>
      </w:r>
      <w:proofErr w:type="gramEnd"/>
    </w:p>
    <w:p w:rsidR="00C84C39" w:rsidRDefault="00C84C39" w:rsidP="00C84C39"/>
    <w:p w:rsidR="0015149D" w:rsidRDefault="0015149D" w:rsidP="00C84C39"/>
    <w:p w:rsidR="00C84C39" w:rsidRDefault="00C84C39" w:rsidP="00C84C39">
      <w:pPr>
        <w:rPr>
          <w:b/>
        </w:rPr>
      </w:pPr>
      <w:r w:rsidRPr="00384A87">
        <w:rPr>
          <w:b/>
        </w:rPr>
        <w:t>DAFTAR PUSTAKA</w:t>
      </w:r>
    </w:p>
    <w:p w:rsidR="006D22DC" w:rsidRPr="006D22DC" w:rsidRDefault="0015149D" w:rsidP="006D22DC">
      <w:pPr>
        <w:widowControl w:val="0"/>
        <w:adjustRightInd w:val="0"/>
        <w:ind w:left="480" w:hanging="480"/>
        <w:rPr>
          <w:noProof/>
          <w:szCs w:val="24"/>
        </w:rPr>
      </w:pPr>
      <w:r>
        <w:rPr>
          <w:b/>
        </w:rPr>
        <w:fldChar w:fldCharType="begin" w:fldLock="1"/>
      </w:r>
      <w:r>
        <w:rPr>
          <w:b/>
        </w:rPr>
        <w:instrText xml:space="preserve">ADDIN Mendeley Bibliography CSL_BIBLIOGRAPHY </w:instrText>
      </w:r>
      <w:r>
        <w:rPr>
          <w:b/>
        </w:rPr>
        <w:fldChar w:fldCharType="separate"/>
      </w:r>
      <w:r w:rsidR="006D22DC" w:rsidRPr="006D22DC">
        <w:rPr>
          <w:noProof/>
          <w:szCs w:val="24"/>
        </w:rPr>
        <w:t xml:space="preserve">Aagerup, U., Frank, A. S., &amp; Hultqvist, E. (2019). The persuasive effects of emotional green packaging claims. </w:t>
      </w:r>
      <w:r w:rsidR="006D22DC" w:rsidRPr="006D22DC">
        <w:rPr>
          <w:i/>
          <w:iCs/>
          <w:noProof/>
          <w:szCs w:val="24"/>
        </w:rPr>
        <w:t>British Food Journal</w:t>
      </w:r>
      <w:r w:rsidR="006D22DC" w:rsidRPr="006D22DC">
        <w:rPr>
          <w:noProof/>
          <w:szCs w:val="24"/>
        </w:rPr>
        <w:t xml:space="preserve">, </w:t>
      </w:r>
      <w:r w:rsidR="006D22DC" w:rsidRPr="006D22DC">
        <w:rPr>
          <w:i/>
          <w:iCs/>
          <w:noProof/>
          <w:szCs w:val="24"/>
        </w:rPr>
        <w:t>121</w:t>
      </w:r>
      <w:r w:rsidR="006D22DC" w:rsidRPr="006D22DC">
        <w:rPr>
          <w:noProof/>
          <w:szCs w:val="24"/>
        </w:rPr>
        <w:t>(12), 3233–3246. https://doi.org/10.1108/BFJ-08-2019-0652</w:t>
      </w:r>
    </w:p>
    <w:p w:rsidR="006D22DC" w:rsidRPr="006D22DC" w:rsidRDefault="006D22DC" w:rsidP="006D22DC">
      <w:pPr>
        <w:widowControl w:val="0"/>
        <w:adjustRightInd w:val="0"/>
        <w:ind w:left="480" w:hanging="480"/>
        <w:rPr>
          <w:noProof/>
          <w:szCs w:val="24"/>
        </w:rPr>
      </w:pPr>
      <w:r w:rsidRPr="006D22DC">
        <w:rPr>
          <w:noProof/>
          <w:szCs w:val="24"/>
        </w:rPr>
        <w:t xml:space="preserve">Alamsyah, D. P., Othman, N. A., &amp; Mohammed, H. A. A. (2020). The awareness of environmentally friendly products: The impact of green advertising and green brand image. </w:t>
      </w:r>
      <w:r w:rsidRPr="006D22DC">
        <w:rPr>
          <w:i/>
          <w:iCs/>
          <w:noProof/>
          <w:szCs w:val="24"/>
        </w:rPr>
        <w:t>Management Science Letters</w:t>
      </w:r>
      <w:r w:rsidRPr="006D22DC">
        <w:rPr>
          <w:noProof/>
          <w:szCs w:val="24"/>
        </w:rPr>
        <w:t xml:space="preserve">, </w:t>
      </w:r>
      <w:r w:rsidRPr="006D22DC">
        <w:rPr>
          <w:i/>
          <w:iCs/>
          <w:noProof/>
          <w:szCs w:val="24"/>
        </w:rPr>
        <w:t>10</w:t>
      </w:r>
      <w:r w:rsidRPr="006D22DC">
        <w:rPr>
          <w:noProof/>
          <w:szCs w:val="24"/>
        </w:rPr>
        <w:t>(9), 1961–1968. https://doi.org/10.5267/j.msl.2020.2.017</w:t>
      </w:r>
    </w:p>
    <w:p w:rsidR="006D22DC" w:rsidRPr="006D22DC" w:rsidRDefault="006D22DC" w:rsidP="006D22DC">
      <w:pPr>
        <w:widowControl w:val="0"/>
        <w:adjustRightInd w:val="0"/>
        <w:ind w:left="480" w:hanging="480"/>
        <w:rPr>
          <w:noProof/>
          <w:szCs w:val="24"/>
        </w:rPr>
      </w:pPr>
      <w:r w:rsidRPr="006D22DC">
        <w:rPr>
          <w:noProof/>
          <w:szCs w:val="24"/>
        </w:rPr>
        <w:t xml:space="preserve">AlSuwaidi, M., Eid, R., &amp; Agag, G. (2021). Understanding the link between CSR and employee green behaviour. </w:t>
      </w:r>
      <w:r w:rsidRPr="006D22DC">
        <w:rPr>
          <w:i/>
          <w:iCs/>
          <w:noProof/>
          <w:szCs w:val="24"/>
        </w:rPr>
        <w:t>Journal of Hospitality and Tourism Management</w:t>
      </w:r>
      <w:r w:rsidRPr="006D22DC">
        <w:rPr>
          <w:noProof/>
          <w:szCs w:val="24"/>
        </w:rPr>
        <w:t xml:space="preserve">, </w:t>
      </w:r>
      <w:r w:rsidRPr="006D22DC">
        <w:rPr>
          <w:i/>
          <w:iCs/>
          <w:noProof/>
          <w:szCs w:val="24"/>
        </w:rPr>
        <w:t>46</w:t>
      </w:r>
      <w:r w:rsidRPr="006D22DC">
        <w:rPr>
          <w:noProof/>
          <w:szCs w:val="24"/>
        </w:rPr>
        <w:t>, 50–61. https://doi.org/10.1016/j.jhtm.2020.11.008</w:t>
      </w:r>
    </w:p>
    <w:p w:rsidR="006D22DC" w:rsidRPr="006D22DC" w:rsidRDefault="006D22DC" w:rsidP="006D22DC">
      <w:pPr>
        <w:widowControl w:val="0"/>
        <w:adjustRightInd w:val="0"/>
        <w:ind w:left="480" w:hanging="480"/>
        <w:rPr>
          <w:noProof/>
          <w:szCs w:val="24"/>
        </w:rPr>
      </w:pPr>
      <w:r w:rsidRPr="006D22DC">
        <w:rPr>
          <w:noProof/>
          <w:szCs w:val="24"/>
        </w:rPr>
        <w:t xml:space="preserve">Bandura,Albert. (1999). Social Cognitive Theory: An Agentic Perspective. </w:t>
      </w:r>
      <w:r w:rsidRPr="006D22DC">
        <w:rPr>
          <w:i/>
          <w:iCs/>
          <w:noProof/>
          <w:szCs w:val="24"/>
        </w:rPr>
        <w:t>Asian Journal of Social Psychology</w:t>
      </w:r>
      <w:r w:rsidRPr="006D22DC">
        <w:rPr>
          <w:noProof/>
          <w:szCs w:val="24"/>
        </w:rPr>
        <w:t xml:space="preserve">, </w:t>
      </w:r>
      <w:r w:rsidRPr="006D22DC">
        <w:rPr>
          <w:i/>
          <w:iCs/>
          <w:noProof/>
          <w:szCs w:val="24"/>
        </w:rPr>
        <w:t>2</w:t>
      </w:r>
      <w:r w:rsidRPr="006D22DC">
        <w:rPr>
          <w:noProof/>
          <w:szCs w:val="24"/>
        </w:rPr>
        <w:t>(1), 1–26. http://search.ebscohost.com/login.aspx?direct=true&amp;#38;db=aph&amp;%2338;AN=4369846&amp;%2338;site=ehost-live</w:t>
      </w:r>
    </w:p>
    <w:p w:rsidR="006D22DC" w:rsidRPr="006D22DC" w:rsidRDefault="006D22DC" w:rsidP="006D22DC">
      <w:pPr>
        <w:widowControl w:val="0"/>
        <w:adjustRightInd w:val="0"/>
        <w:ind w:left="480" w:hanging="480"/>
        <w:rPr>
          <w:noProof/>
          <w:szCs w:val="24"/>
        </w:rPr>
      </w:pPr>
      <w:r w:rsidRPr="006D22DC">
        <w:rPr>
          <w:noProof/>
          <w:szCs w:val="24"/>
        </w:rPr>
        <w:t xml:space="preserve">Debora Indriani, I. A., Rahayu, M., &amp; Hadiwidjojo, D. (2019). The Influence of Environmental Knowledge on Green Purchase Intention the Role of Attitude as Mediating Variable. </w:t>
      </w:r>
      <w:r w:rsidRPr="006D22DC">
        <w:rPr>
          <w:i/>
          <w:iCs/>
          <w:noProof/>
          <w:szCs w:val="24"/>
        </w:rPr>
        <w:t>International Journal of Multicultural and Multireligious Understanding</w:t>
      </w:r>
      <w:r w:rsidRPr="006D22DC">
        <w:rPr>
          <w:noProof/>
          <w:szCs w:val="24"/>
        </w:rPr>
        <w:t xml:space="preserve">, </w:t>
      </w:r>
      <w:r w:rsidRPr="006D22DC">
        <w:rPr>
          <w:i/>
          <w:iCs/>
          <w:noProof/>
          <w:szCs w:val="24"/>
        </w:rPr>
        <w:t>6</w:t>
      </w:r>
      <w:r w:rsidRPr="006D22DC">
        <w:rPr>
          <w:noProof/>
          <w:szCs w:val="24"/>
        </w:rPr>
        <w:t>(2), 627. https://doi.org/10.18415/ijmmu.v6i2.706</w:t>
      </w:r>
    </w:p>
    <w:p w:rsidR="006D22DC" w:rsidRPr="006D22DC" w:rsidRDefault="006D22DC" w:rsidP="006D22DC">
      <w:pPr>
        <w:widowControl w:val="0"/>
        <w:adjustRightInd w:val="0"/>
        <w:ind w:left="480" w:hanging="480"/>
        <w:rPr>
          <w:noProof/>
          <w:szCs w:val="24"/>
        </w:rPr>
      </w:pPr>
      <w:r w:rsidRPr="006D22DC">
        <w:rPr>
          <w:noProof/>
          <w:szCs w:val="24"/>
        </w:rPr>
        <w:t xml:space="preserve">Deslatte, A., Swann, W. L., &amp; Feiock, R. C. (2021). Performance, Satisfaction, or Loss Aversion? A Meso-Micro Assessment of Local Commitments to Sustainability Programs. </w:t>
      </w:r>
      <w:r w:rsidRPr="006D22DC">
        <w:rPr>
          <w:i/>
          <w:iCs/>
          <w:noProof/>
          <w:szCs w:val="24"/>
        </w:rPr>
        <w:t>Journal of Public Administration Research and Theory</w:t>
      </w:r>
      <w:r w:rsidRPr="006D22DC">
        <w:rPr>
          <w:noProof/>
          <w:szCs w:val="24"/>
        </w:rPr>
        <w:t xml:space="preserve">, </w:t>
      </w:r>
      <w:r w:rsidRPr="006D22DC">
        <w:rPr>
          <w:i/>
          <w:iCs/>
          <w:noProof/>
          <w:szCs w:val="24"/>
        </w:rPr>
        <w:t>31</w:t>
      </w:r>
      <w:r w:rsidRPr="006D22DC">
        <w:rPr>
          <w:noProof/>
          <w:szCs w:val="24"/>
        </w:rPr>
        <w:t>(1), 201–217. https://doi.org/10.1093/jopart/muaa021</w:t>
      </w:r>
    </w:p>
    <w:p w:rsidR="006D22DC" w:rsidRPr="006D22DC" w:rsidRDefault="006D22DC" w:rsidP="006D22DC">
      <w:pPr>
        <w:widowControl w:val="0"/>
        <w:adjustRightInd w:val="0"/>
        <w:ind w:left="480" w:hanging="480"/>
        <w:rPr>
          <w:noProof/>
          <w:szCs w:val="24"/>
        </w:rPr>
      </w:pPr>
      <w:r w:rsidRPr="006D22DC">
        <w:rPr>
          <w:noProof/>
          <w:szCs w:val="24"/>
        </w:rPr>
        <w:t xml:space="preserve">Elgaaied-Gambier, L., Bertrandias, L., &amp; Bernard, Y. (2020). Cutting the Internet’s Environmental Footprint: An Analysis of Consumers’ Self-Attribution of Responsibility. </w:t>
      </w:r>
      <w:r w:rsidRPr="006D22DC">
        <w:rPr>
          <w:i/>
          <w:iCs/>
          <w:noProof/>
          <w:szCs w:val="24"/>
        </w:rPr>
        <w:t>Journal of Interactive Marketing</w:t>
      </w:r>
      <w:r w:rsidRPr="006D22DC">
        <w:rPr>
          <w:noProof/>
          <w:szCs w:val="24"/>
        </w:rPr>
        <w:t xml:space="preserve">, </w:t>
      </w:r>
      <w:r w:rsidRPr="006D22DC">
        <w:rPr>
          <w:i/>
          <w:iCs/>
          <w:noProof/>
          <w:szCs w:val="24"/>
        </w:rPr>
        <w:t>50</w:t>
      </w:r>
      <w:r w:rsidRPr="006D22DC">
        <w:rPr>
          <w:noProof/>
          <w:szCs w:val="24"/>
        </w:rPr>
        <w:t>(June), 120–135. https://doi.org/10.1016/j.intmar.2020.02.001</w:t>
      </w:r>
    </w:p>
    <w:p w:rsidR="006D22DC" w:rsidRPr="006D22DC" w:rsidRDefault="006D22DC" w:rsidP="006D22DC">
      <w:pPr>
        <w:widowControl w:val="0"/>
        <w:adjustRightInd w:val="0"/>
        <w:ind w:left="480" w:hanging="480"/>
        <w:rPr>
          <w:noProof/>
          <w:szCs w:val="24"/>
        </w:rPr>
      </w:pPr>
      <w:r w:rsidRPr="006D22DC">
        <w:rPr>
          <w:noProof/>
          <w:szCs w:val="24"/>
        </w:rPr>
        <w:t xml:space="preserve">Han, H., Lho, L. H., Al-Ansi, A., Ryu, H. B., Park, J., &amp; Kim, W. (2019). Factors triggering customer willingness to travel on environmentally responsible electric airplanes. </w:t>
      </w:r>
      <w:r w:rsidRPr="006D22DC">
        <w:rPr>
          <w:i/>
          <w:iCs/>
          <w:noProof/>
          <w:szCs w:val="24"/>
        </w:rPr>
        <w:t>Sustainability (Switzerland)</w:t>
      </w:r>
      <w:r w:rsidRPr="006D22DC">
        <w:rPr>
          <w:noProof/>
          <w:szCs w:val="24"/>
        </w:rPr>
        <w:t xml:space="preserve">, </w:t>
      </w:r>
      <w:r w:rsidRPr="006D22DC">
        <w:rPr>
          <w:i/>
          <w:iCs/>
          <w:noProof/>
          <w:szCs w:val="24"/>
        </w:rPr>
        <w:t>11</w:t>
      </w:r>
      <w:r w:rsidRPr="006D22DC">
        <w:rPr>
          <w:noProof/>
          <w:szCs w:val="24"/>
        </w:rPr>
        <w:t>(7), 1–16. https://doi.org/10.3390/su11072035</w:t>
      </w:r>
    </w:p>
    <w:p w:rsidR="006D22DC" w:rsidRPr="006D22DC" w:rsidRDefault="006D22DC" w:rsidP="006D22DC">
      <w:pPr>
        <w:widowControl w:val="0"/>
        <w:adjustRightInd w:val="0"/>
        <w:ind w:left="480" w:hanging="480"/>
        <w:rPr>
          <w:noProof/>
          <w:szCs w:val="24"/>
        </w:rPr>
      </w:pPr>
      <w:r w:rsidRPr="006D22DC">
        <w:rPr>
          <w:noProof/>
          <w:szCs w:val="24"/>
        </w:rPr>
        <w:t xml:space="preserve">Jahari, S. A., Hass, A., Idris, I. B., &amp; Joseph, M. (2022). An integrated framework examining sustainable green behavior among young consumers. </w:t>
      </w:r>
      <w:r w:rsidRPr="006D22DC">
        <w:rPr>
          <w:i/>
          <w:iCs/>
          <w:noProof/>
          <w:szCs w:val="24"/>
        </w:rPr>
        <w:t>Journal of Consumer Marketing</w:t>
      </w:r>
      <w:r w:rsidRPr="006D22DC">
        <w:rPr>
          <w:noProof/>
          <w:szCs w:val="24"/>
        </w:rPr>
        <w:t xml:space="preserve">, </w:t>
      </w:r>
      <w:r w:rsidRPr="006D22DC">
        <w:rPr>
          <w:i/>
          <w:iCs/>
          <w:noProof/>
          <w:szCs w:val="24"/>
        </w:rPr>
        <w:t>39</w:t>
      </w:r>
      <w:r w:rsidRPr="006D22DC">
        <w:rPr>
          <w:noProof/>
          <w:szCs w:val="24"/>
        </w:rPr>
        <w:t>(4), 333–344. https://doi.org/10.1108/JCM-04-2021-4593</w:t>
      </w:r>
    </w:p>
    <w:p w:rsidR="006D22DC" w:rsidRPr="006D22DC" w:rsidRDefault="006D22DC" w:rsidP="006D22DC">
      <w:pPr>
        <w:widowControl w:val="0"/>
        <w:adjustRightInd w:val="0"/>
        <w:ind w:left="480" w:hanging="480"/>
        <w:rPr>
          <w:noProof/>
          <w:szCs w:val="24"/>
        </w:rPr>
      </w:pPr>
      <w:r w:rsidRPr="006D22DC">
        <w:rPr>
          <w:noProof/>
          <w:szCs w:val="24"/>
        </w:rPr>
        <w:t xml:space="preserve">Jalees, T., Qabool, S., Zaman, S. I., &amp; Alam Kazmi, S. H. (2021). Effect of spirituality and ethics on green advertising, and the multi- mediating roles of green buying and green satisfaction. </w:t>
      </w:r>
      <w:r w:rsidRPr="006D22DC">
        <w:rPr>
          <w:i/>
          <w:iCs/>
          <w:noProof/>
          <w:szCs w:val="24"/>
        </w:rPr>
        <w:t>Cogent Business and Management</w:t>
      </w:r>
      <w:r w:rsidRPr="006D22DC">
        <w:rPr>
          <w:noProof/>
          <w:szCs w:val="24"/>
        </w:rPr>
        <w:t xml:space="preserve">, </w:t>
      </w:r>
      <w:r w:rsidRPr="006D22DC">
        <w:rPr>
          <w:i/>
          <w:iCs/>
          <w:noProof/>
          <w:szCs w:val="24"/>
        </w:rPr>
        <w:t>8</w:t>
      </w:r>
      <w:r w:rsidRPr="006D22DC">
        <w:rPr>
          <w:noProof/>
          <w:szCs w:val="24"/>
        </w:rPr>
        <w:t>(1). https://doi.org/10.1080/23311975.2021.1920559</w:t>
      </w:r>
    </w:p>
    <w:p w:rsidR="006D22DC" w:rsidRPr="006D22DC" w:rsidRDefault="006D22DC" w:rsidP="006D22DC">
      <w:pPr>
        <w:widowControl w:val="0"/>
        <w:adjustRightInd w:val="0"/>
        <w:ind w:left="480" w:hanging="480"/>
        <w:rPr>
          <w:noProof/>
          <w:szCs w:val="24"/>
        </w:rPr>
      </w:pPr>
      <w:r w:rsidRPr="006D22DC">
        <w:rPr>
          <w:noProof/>
          <w:szCs w:val="24"/>
        </w:rPr>
        <w:t xml:space="preserve">Jr, J. F. H., Black, W. C., Babin, B. J., Anderson, R. E., Black, W. C., &amp; Anderson, R. E. (2018). </w:t>
      </w:r>
      <w:r w:rsidRPr="006D22DC">
        <w:rPr>
          <w:i/>
          <w:iCs/>
          <w:noProof/>
          <w:szCs w:val="24"/>
        </w:rPr>
        <w:lastRenderedPageBreak/>
        <w:t>Multivariate Data Analysis</w:t>
      </w:r>
      <w:r w:rsidRPr="006D22DC">
        <w:rPr>
          <w:noProof/>
          <w:szCs w:val="24"/>
        </w:rPr>
        <w:t>. https://doi.org/10.1002/9781119409137.ch4</w:t>
      </w:r>
    </w:p>
    <w:p w:rsidR="006D22DC" w:rsidRPr="006D22DC" w:rsidRDefault="006D22DC" w:rsidP="006D22DC">
      <w:pPr>
        <w:widowControl w:val="0"/>
        <w:adjustRightInd w:val="0"/>
        <w:ind w:left="480" w:hanging="480"/>
        <w:rPr>
          <w:noProof/>
          <w:szCs w:val="24"/>
        </w:rPr>
      </w:pPr>
      <w:r w:rsidRPr="006D22DC">
        <w:rPr>
          <w:noProof/>
          <w:szCs w:val="24"/>
        </w:rPr>
        <w:t xml:space="preserve">Laroche, M., Bergeron, J., &amp; Barbaro-Forleo, G. (2001). Targeting consumers who are willing to pay more for environmentally friendly products. </w:t>
      </w:r>
      <w:r w:rsidRPr="006D22DC">
        <w:rPr>
          <w:i/>
          <w:iCs/>
          <w:noProof/>
          <w:szCs w:val="24"/>
        </w:rPr>
        <w:t>Journal of Consumer Marketing</w:t>
      </w:r>
      <w:r w:rsidRPr="006D22DC">
        <w:rPr>
          <w:noProof/>
          <w:szCs w:val="24"/>
        </w:rPr>
        <w:t xml:space="preserve">, </w:t>
      </w:r>
      <w:r w:rsidRPr="006D22DC">
        <w:rPr>
          <w:i/>
          <w:iCs/>
          <w:noProof/>
          <w:szCs w:val="24"/>
        </w:rPr>
        <w:t>18</w:t>
      </w:r>
      <w:r w:rsidRPr="006D22DC">
        <w:rPr>
          <w:noProof/>
          <w:szCs w:val="24"/>
        </w:rPr>
        <w:t>(6), 503–520. https://doi.org/10.1108/EUM0000000006155</w:t>
      </w:r>
    </w:p>
    <w:p w:rsidR="006D22DC" w:rsidRPr="006D22DC" w:rsidRDefault="006D22DC" w:rsidP="006D22DC">
      <w:pPr>
        <w:widowControl w:val="0"/>
        <w:adjustRightInd w:val="0"/>
        <w:ind w:left="480" w:hanging="480"/>
        <w:rPr>
          <w:noProof/>
          <w:szCs w:val="24"/>
        </w:rPr>
      </w:pPr>
      <w:r w:rsidRPr="006D22DC">
        <w:rPr>
          <w:noProof/>
          <w:szCs w:val="24"/>
        </w:rPr>
        <w:t xml:space="preserve">Lee, K. (2014). Predictors of Sustainable Consumption among Young Educated Consumers in Hong Kong. </w:t>
      </w:r>
      <w:r w:rsidRPr="006D22DC">
        <w:rPr>
          <w:i/>
          <w:iCs/>
          <w:noProof/>
          <w:szCs w:val="24"/>
        </w:rPr>
        <w:t>Journal of International Consumer Marketing</w:t>
      </w:r>
      <w:r w:rsidRPr="006D22DC">
        <w:rPr>
          <w:noProof/>
          <w:szCs w:val="24"/>
        </w:rPr>
        <w:t xml:space="preserve">, </w:t>
      </w:r>
      <w:r w:rsidRPr="006D22DC">
        <w:rPr>
          <w:i/>
          <w:iCs/>
          <w:noProof/>
          <w:szCs w:val="24"/>
        </w:rPr>
        <w:t>26</w:t>
      </w:r>
      <w:r w:rsidRPr="006D22DC">
        <w:rPr>
          <w:noProof/>
          <w:szCs w:val="24"/>
        </w:rPr>
        <w:t>(3), 217–238. https://doi.org/10.1080/08961530.2014.900249</w:t>
      </w:r>
    </w:p>
    <w:p w:rsidR="006D22DC" w:rsidRPr="006D22DC" w:rsidRDefault="006D22DC" w:rsidP="006D22DC">
      <w:pPr>
        <w:widowControl w:val="0"/>
        <w:adjustRightInd w:val="0"/>
        <w:ind w:left="480" w:hanging="480"/>
        <w:rPr>
          <w:noProof/>
          <w:szCs w:val="24"/>
        </w:rPr>
      </w:pPr>
      <w:r w:rsidRPr="006D22DC">
        <w:rPr>
          <w:noProof/>
          <w:szCs w:val="24"/>
        </w:rPr>
        <w:t xml:space="preserve">Lestari, R. B., &amp; Widagdo, H. (2019). Analisis Perilaku Konsumen Sadar Lingkungan di Palembang. </w:t>
      </w:r>
      <w:r w:rsidRPr="006D22DC">
        <w:rPr>
          <w:i/>
          <w:iCs/>
          <w:noProof/>
          <w:szCs w:val="24"/>
        </w:rPr>
        <w:t>Adminika</w:t>
      </w:r>
      <w:r w:rsidRPr="006D22DC">
        <w:rPr>
          <w:noProof/>
          <w:szCs w:val="24"/>
        </w:rPr>
        <w:t xml:space="preserve">, </w:t>
      </w:r>
      <w:r w:rsidRPr="006D22DC">
        <w:rPr>
          <w:i/>
          <w:iCs/>
          <w:noProof/>
          <w:szCs w:val="24"/>
        </w:rPr>
        <w:t>5</w:t>
      </w:r>
      <w:r w:rsidRPr="006D22DC">
        <w:rPr>
          <w:noProof/>
          <w:szCs w:val="24"/>
        </w:rPr>
        <w:t>(2), 16–27. http://www.journal.poltekanika.ac.id/index.php/adm/article/view/102%0Ahttp://www.journal.poltekanika.ac.id/index.php/adm/article/viewFile/102/91</w:t>
      </w:r>
    </w:p>
    <w:p w:rsidR="006D22DC" w:rsidRPr="006D22DC" w:rsidRDefault="006D22DC" w:rsidP="006D22DC">
      <w:pPr>
        <w:widowControl w:val="0"/>
        <w:adjustRightInd w:val="0"/>
        <w:ind w:left="480" w:hanging="480"/>
        <w:rPr>
          <w:noProof/>
          <w:szCs w:val="24"/>
        </w:rPr>
      </w:pPr>
      <w:r w:rsidRPr="006D22DC">
        <w:rPr>
          <w:noProof/>
          <w:szCs w:val="24"/>
        </w:rPr>
        <w:t xml:space="preserve">Lin, H. Y., &amp; Hsu, M. H. (2015). Using Social Cognitive Theory to Investigate Green Consumer Behavior. </w:t>
      </w:r>
      <w:r w:rsidRPr="006D22DC">
        <w:rPr>
          <w:i/>
          <w:iCs/>
          <w:noProof/>
          <w:szCs w:val="24"/>
        </w:rPr>
        <w:t>Business Strategy and the Environment</w:t>
      </w:r>
      <w:r w:rsidRPr="006D22DC">
        <w:rPr>
          <w:noProof/>
          <w:szCs w:val="24"/>
        </w:rPr>
        <w:t xml:space="preserve">, </w:t>
      </w:r>
      <w:r w:rsidRPr="006D22DC">
        <w:rPr>
          <w:i/>
          <w:iCs/>
          <w:noProof/>
          <w:szCs w:val="24"/>
        </w:rPr>
        <w:t>24</w:t>
      </w:r>
      <w:r w:rsidRPr="006D22DC">
        <w:rPr>
          <w:noProof/>
          <w:szCs w:val="24"/>
        </w:rPr>
        <w:t>(5), 326–343. https://doi.org/10.1002/bse.1820</w:t>
      </w:r>
    </w:p>
    <w:p w:rsidR="006D22DC" w:rsidRPr="006D22DC" w:rsidRDefault="006D22DC" w:rsidP="006D22DC">
      <w:pPr>
        <w:widowControl w:val="0"/>
        <w:adjustRightInd w:val="0"/>
        <w:ind w:left="480" w:hanging="480"/>
        <w:rPr>
          <w:noProof/>
          <w:szCs w:val="24"/>
        </w:rPr>
      </w:pPr>
      <w:r w:rsidRPr="006D22DC">
        <w:rPr>
          <w:noProof/>
          <w:szCs w:val="24"/>
        </w:rPr>
        <w:t xml:space="preserve">Perera, C., &amp; Hewege, C. (2018). Climate change risk perceptions among green conscious young consumers: implications for green commodity marketing. </w:t>
      </w:r>
      <w:r w:rsidRPr="006D22DC">
        <w:rPr>
          <w:i/>
          <w:iCs/>
          <w:noProof/>
          <w:szCs w:val="24"/>
        </w:rPr>
        <w:t>Journal of Consumer Marketing</w:t>
      </w:r>
      <w:r w:rsidRPr="006D22DC">
        <w:rPr>
          <w:noProof/>
          <w:szCs w:val="24"/>
        </w:rPr>
        <w:t xml:space="preserve">, </w:t>
      </w:r>
      <w:r w:rsidRPr="006D22DC">
        <w:rPr>
          <w:i/>
          <w:iCs/>
          <w:noProof/>
          <w:szCs w:val="24"/>
        </w:rPr>
        <w:t>35</w:t>
      </w:r>
      <w:r w:rsidRPr="006D22DC">
        <w:rPr>
          <w:noProof/>
          <w:szCs w:val="24"/>
        </w:rPr>
        <w:t>(7), 754–766. https://doi.org/10.1108/JCM-01-2018-2537</w:t>
      </w:r>
    </w:p>
    <w:p w:rsidR="006D22DC" w:rsidRPr="006D22DC" w:rsidRDefault="006D22DC" w:rsidP="006D22DC">
      <w:pPr>
        <w:widowControl w:val="0"/>
        <w:adjustRightInd w:val="0"/>
        <w:ind w:left="480" w:hanging="480"/>
        <w:rPr>
          <w:noProof/>
          <w:szCs w:val="24"/>
        </w:rPr>
      </w:pPr>
      <w:r w:rsidRPr="006D22DC">
        <w:rPr>
          <w:noProof/>
          <w:szCs w:val="24"/>
        </w:rPr>
        <w:t xml:space="preserve">Schäufele, I., &amp; Hamm, U. (2018). Organic wine purchase behaviour in Germany: Exploring the attitude-behaviour-gap with data from a household panel. </w:t>
      </w:r>
      <w:r w:rsidRPr="006D22DC">
        <w:rPr>
          <w:i/>
          <w:iCs/>
          <w:noProof/>
          <w:szCs w:val="24"/>
        </w:rPr>
        <w:t>Food Quality and Preference</w:t>
      </w:r>
      <w:r w:rsidRPr="006D22DC">
        <w:rPr>
          <w:noProof/>
          <w:szCs w:val="24"/>
        </w:rPr>
        <w:t xml:space="preserve">, </w:t>
      </w:r>
      <w:r w:rsidRPr="006D22DC">
        <w:rPr>
          <w:i/>
          <w:iCs/>
          <w:noProof/>
          <w:szCs w:val="24"/>
        </w:rPr>
        <w:t>63</w:t>
      </w:r>
      <w:r w:rsidRPr="006D22DC">
        <w:rPr>
          <w:noProof/>
          <w:szCs w:val="24"/>
        </w:rPr>
        <w:t>(June 2017), 1–11. https://doi.org/10.1016/j.foodqual.2017.07.010</w:t>
      </w:r>
    </w:p>
    <w:p w:rsidR="006D22DC" w:rsidRPr="006D22DC" w:rsidRDefault="006D22DC" w:rsidP="006D22DC">
      <w:pPr>
        <w:widowControl w:val="0"/>
        <w:adjustRightInd w:val="0"/>
        <w:ind w:left="480" w:hanging="480"/>
        <w:rPr>
          <w:noProof/>
          <w:szCs w:val="24"/>
        </w:rPr>
      </w:pPr>
      <w:r w:rsidRPr="006D22DC">
        <w:rPr>
          <w:noProof/>
          <w:szCs w:val="24"/>
        </w:rPr>
        <w:t xml:space="preserve">Sekaran, B. (2016). </w:t>
      </w:r>
      <w:r w:rsidRPr="006D22DC">
        <w:rPr>
          <w:i/>
          <w:iCs/>
          <w:noProof/>
          <w:szCs w:val="24"/>
        </w:rPr>
        <w:t>An easy way to help students learn, collaborate, and grow</w:t>
      </w:r>
      <w:r w:rsidRPr="006D22DC">
        <w:rPr>
          <w:noProof/>
          <w:szCs w:val="24"/>
        </w:rPr>
        <w:t>. www.wileypluslearningspace.com</w:t>
      </w:r>
    </w:p>
    <w:p w:rsidR="006D22DC" w:rsidRPr="006D22DC" w:rsidRDefault="006D22DC" w:rsidP="006D22DC">
      <w:pPr>
        <w:widowControl w:val="0"/>
        <w:adjustRightInd w:val="0"/>
        <w:ind w:left="480" w:hanging="480"/>
        <w:rPr>
          <w:noProof/>
          <w:szCs w:val="24"/>
        </w:rPr>
      </w:pPr>
      <w:r w:rsidRPr="006D22DC">
        <w:rPr>
          <w:noProof/>
          <w:szCs w:val="24"/>
        </w:rPr>
        <w:t xml:space="preserve">Shalom H. Schwartz. (1992). Universals in the content and structure of values: Theoretical advances and empirical tests in 20 countries. </w:t>
      </w:r>
      <w:r w:rsidRPr="006D22DC">
        <w:rPr>
          <w:i/>
          <w:iCs/>
          <w:noProof/>
          <w:szCs w:val="24"/>
        </w:rPr>
        <w:t>Advances in Experimental Social Psychology</w:t>
      </w:r>
      <w:r w:rsidRPr="006D22DC">
        <w:rPr>
          <w:noProof/>
          <w:szCs w:val="24"/>
        </w:rPr>
        <w:t xml:space="preserve">, </w:t>
      </w:r>
      <w:r w:rsidRPr="006D22DC">
        <w:rPr>
          <w:i/>
          <w:iCs/>
          <w:noProof/>
          <w:szCs w:val="24"/>
        </w:rPr>
        <w:t>25</w:t>
      </w:r>
      <w:r w:rsidRPr="006D22DC">
        <w:rPr>
          <w:noProof/>
          <w:szCs w:val="24"/>
        </w:rPr>
        <w:t>(C), 1–65.</w:t>
      </w:r>
    </w:p>
    <w:p w:rsidR="006D22DC" w:rsidRPr="006D22DC" w:rsidRDefault="006D22DC" w:rsidP="006D22DC">
      <w:pPr>
        <w:widowControl w:val="0"/>
        <w:adjustRightInd w:val="0"/>
        <w:ind w:left="480" w:hanging="480"/>
        <w:rPr>
          <w:noProof/>
          <w:szCs w:val="24"/>
        </w:rPr>
      </w:pPr>
      <w:r w:rsidRPr="006D22DC">
        <w:rPr>
          <w:noProof/>
          <w:szCs w:val="24"/>
        </w:rPr>
        <w:t xml:space="preserve">Shen, J., Zheng, D., Zhang, X., &amp; Qu, M. (2020). Investigating rural domestic waste sorting intentions based on an integrative framework of planned behavior theory and normative activation models: Evidence from guanzhong basin, China. </w:t>
      </w:r>
      <w:r w:rsidRPr="006D22DC">
        <w:rPr>
          <w:i/>
          <w:iCs/>
          <w:noProof/>
          <w:szCs w:val="24"/>
        </w:rPr>
        <w:t>International Journal of Environmental Research and Public Health</w:t>
      </w:r>
      <w:r w:rsidRPr="006D22DC">
        <w:rPr>
          <w:noProof/>
          <w:szCs w:val="24"/>
        </w:rPr>
        <w:t xml:space="preserve">, </w:t>
      </w:r>
      <w:r w:rsidRPr="006D22DC">
        <w:rPr>
          <w:i/>
          <w:iCs/>
          <w:noProof/>
          <w:szCs w:val="24"/>
        </w:rPr>
        <w:t>17</w:t>
      </w:r>
      <w:r w:rsidRPr="006D22DC">
        <w:rPr>
          <w:noProof/>
          <w:szCs w:val="24"/>
        </w:rPr>
        <w:t>(13), 1–14. https://doi.org/10.3390/ijerph17134887</w:t>
      </w:r>
    </w:p>
    <w:p w:rsidR="006D22DC" w:rsidRPr="006D22DC" w:rsidRDefault="006D22DC" w:rsidP="006D22DC">
      <w:pPr>
        <w:widowControl w:val="0"/>
        <w:adjustRightInd w:val="0"/>
        <w:ind w:left="480" w:hanging="480"/>
        <w:rPr>
          <w:noProof/>
          <w:szCs w:val="24"/>
        </w:rPr>
      </w:pPr>
      <w:r w:rsidRPr="006D22DC">
        <w:rPr>
          <w:noProof/>
          <w:szCs w:val="24"/>
        </w:rPr>
        <w:t xml:space="preserve">Shin, Y. H., Moon, H., Jung, S. E., &amp; Severt, K. (2017). The effect of environmental values and attitudes on consumer willingness to pay more for organic menus: A value-attitude-behavior approach. </w:t>
      </w:r>
      <w:r w:rsidRPr="006D22DC">
        <w:rPr>
          <w:i/>
          <w:iCs/>
          <w:noProof/>
          <w:szCs w:val="24"/>
        </w:rPr>
        <w:t>Journal of Hospitality and Tourism Management</w:t>
      </w:r>
      <w:r w:rsidRPr="006D22DC">
        <w:rPr>
          <w:noProof/>
          <w:szCs w:val="24"/>
        </w:rPr>
        <w:t xml:space="preserve">, </w:t>
      </w:r>
      <w:r w:rsidRPr="006D22DC">
        <w:rPr>
          <w:i/>
          <w:iCs/>
          <w:noProof/>
          <w:szCs w:val="24"/>
        </w:rPr>
        <w:t>33</w:t>
      </w:r>
      <w:r w:rsidRPr="006D22DC">
        <w:rPr>
          <w:noProof/>
          <w:szCs w:val="24"/>
        </w:rPr>
        <w:t>(December), 113–121. https://doi.org/10.1016/j.jhtm.2017.10.010</w:t>
      </w:r>
    </w:p>
    <w:p w:rsidR="006D22DC" w:rsidRPr="006D22DC" w:rsidRDefault="006D22DC" w:rsidP="006D22DC">
      <w:pPr>
        <w:widowControl w:val="0"/>
        <w:adjustRightInd w:val="0"/>
        <w:ind w:left="480" w:hanging="480"/>
        <w:rPr>
          <w:noProof/>
          <w:szCs w:val="24"/>
        </w:rPr>
      </w:pPr>
      <w:r w:rsidRPr="006D22DC">
        <w:rPr>
          <w:noProof/>
          <w:szCs w:val="24"/>
        </w:rPr>
        <w:t xml:space="preserve">Social cognitive theory : An agentic Albert Bandura. (1999). </w:t>
      </w:r>
      <w:r w:rsidRPr="006D22DC">
        <w:rPr>
          <w:i/>
          <w:iCs/>
          <w:noProof/>
          <w:szCs w:val="24"/>
        </w:rPr>
        <w:t>Asian Journal of Social Psychology</w:t>
      </w:r>
      <w:r w:rsidRPr="006D22DC">
        <w:rPr>
          <w:noProof/>
          <w:szCs w:val="24"/>
        </w:rPr>
        <w:t>, 21–41.</w:t>
      </w:r>
    </w:p>
    <w:p w:rsidR="006D22DC" w:rsidRPr="006D22DC" w:rsidRDefault="006D22DC" w:rsidP="006D22DC">
      <w:pPr>
        <w:widowControl w:val="0"/>
        <w:adjustRightInd w:val="0"/>
        <w:ind w:left="480" w:hanging="480"/>
        <w:rPr>
          <w:noProof/>
          <w:szCs w:val="24"/>
        </w:rPr>
      </w:pPr>
      <w:r w:rsidRPr="006D22DC">
        <w:rPr>
          <w:noProof/>
          <w:szCs w:val="24"/>
        </w:rPr>
        <w:t xml:space="preserve">Steg, L., Dreijerink, L., &amp; Abrahamse, W. (2005). Factors influencing the acceptability of energy policies: A test of VBN theory. </w:t>
      </w:r>
      <w:r w:rsidRPr="006D22DC">
        <w:rPr>
          <w:i/>
          <w:iCs/>
          <w:noProof/>
          <w:szCs w:val="24"/>
        </w:rPr>
        <w:t>Journal of Environmental Psychology</w:t>
      </w:r>
      <w:r w:rsidRPr="006D22DC">
        <w:rPr>
          <w:noProof/>
          <w:szCs w:val="24"/>
        </w:rPr>
        <w:t xml:space="preserve">, </w:t>
      </w:r>
      <w:r w:rsidRPr="006D22DC">
        <w:rPr>
          <w:i/>
          <w:iCs/>
          <w:noProof/>
          <w:szCs w:val="24"/>
        </w:rPr>
        <w:t>25</w:t>
      </w:r>
      <w:r w:rsidRPr="006D22DC">
        <w:rPr>
          <w:noProof/>
          <w:szCs w:val="24"/>
        </w:rPr>
        <w:t>(4), 415–425. https://doi.org/10.1016/j.jenvp.2005.08.003</w:t>
      </w:r>
    </w:p>
    <w:p w:rsidR="006D22DC" w:rsidRPr="006D22DC" w:rsidRDefault="006D22DC" w:rsidP="006D22DC">
      <w:pPr>
        <w:widowControl w:val="0"/>
        <w:adjustRightInd w:val="0"/>
        <w:ind w:left="480" w:hanging="480"/>
        <w:rPr>
          <w:noProof/>
          <w:szCs w:val="24"/>
        </w:rPr>
      </w:pPr>
      <w:r w:rsidRPr="006D22DC">
        <w:rPr>
          <w:noProof/>
          <w:szCs w:val="24"/>
        </w:rPr>
        <w:t xml:space="preserve">Stern, P. C. (2000). Toward a coherent theory of environmentally significant behavior. </w:t>
      </w:r>
      <w:r w:rsidRPr="006D22DC">
        <w:rPr>
          <w:i/>
          <w:iCs/>
          <w:noProof/>
          <w:szCs w:val="24"/>
        </w:rPr>
        <w:t>Journal of Social Issues</w:t>
      </w:r>
      <w:r w:rsidRPr="006D22DC">
        <w:rPr>
          <w:noProof/>
          <w:szCs w:val="24"/>
        </w:rPr>
        <w:t xml:space="preserve">, </w:t>
      </w:r>
      <w:r w:rsidRPr="006D22DC">
        <w:rPr>
          <w:i/>
          <w:iCs/>
          <w:noProof/>
          <w:szCs w:val="24"/>
        </w:rPr>
        <w:t>56</w:t>
      </w:r>
      <w:r w:rsidRPr="006D22DC">
        <w:rPr>
          <w:noProof/>
          <w:szCs w:val="24"/>
        </w:rPr>
        <w:t>(3), 407–424. https://doi.org/10.1111/0022-4537.00175</w:t>
      </w:r>
    </w:p>
    <w:p w:rsidR="006D22DC" w:rsidRPr="006D22DC" w:rsidRDefault="006D22DC" w:rsidP="006D22DC">
      <w:pPr>
        <w:widowControl w:val="0"/>
        <w:adjustRightInd w:val="0"/>
        <w:ind w:left="480" w:hanging="480"/>
        <w:rPr>
          <w:noProof/>
          <w:szCs w:val="24"/>
        </w:rPr>
      </w:pPr>
      <w:r w:rsidRPr="006D22DC">
        <w:rPr>
          <w:noProof/>
          <w:szCs w:val="24"/>
        </w:rPr>
        <w:t xml:space="preserve">Sutanto, E. M., Sigiols, P. J., &amp; Putih, I. (2018). University Students’ Entrepreneurial Performance. </w:t>
      </w:r>
      <w:r w:rsidRPr="006D22DC">
        <w:rPr>
          <w:i/>
          <w:iCs/>
          <w:noProof/>
          <w:szCs w:val="24"/>
        </w:rPr>
        <w:t>Journal of Economics, Business &amp; Accountancy Ventura</w:t>
      </w:r>
      <w:r w:rsidRPr="006D22DC">
        <w:rPr>
          <w:noProof/>
          <w:szCs w:val="24"/>
        </w:rPr>
        <w:t xml:space="preserve">, </w:t>
      </w:r>
      <w:r w:rsidRPr="006D22DC">
        <w:rPr>
          <w:i/>
          <w:iCs/>
          <w:noProof/>
          <w:szCs w:val="24"/>
        </w:rPr>
        <w:t>21</w:t>
      </w:r>
      <w:r w:rsidRPr="006D22DC">
        <w:rPr>
          <w:noProof/>
          <w:szCs w:val="24"/>
        </w:rPr>
        <w:t>(2), 251–258. https://doi.org/10.14414/jebav.v21i2.1197</w:t>
      </w:r>
    </w:p>
    <w:p w:rsidR="006D22DC" w:rsidRPr="006D22DC" w:rsidRDefault="006D22DC" w:rsidP="006D22DC">
      <w:pPr>
        <w:widowControl w:val="0"/>
        <w:adjustRightInd w:val="0"/>
        <w:ind w:left="480" w:hanging="480"/>
        <w:rPr>
          <w:noProof/>
          <w:szCs w:val="24"/>
        </w:rPr>
      </w:pPr>
      <w:r w:rsidRPr="006D22DC">
        <w:rPr>
          <w:noProof/>
          <w:szCs w:val="24"/>
        </w:rPr>
        <w:t xml:space="preserve">Testa, F., Russo, M. V., Cornwell, T. B., McDonald, A., &amp; Reich, B. (2018). Social sustainability as buying local: Effects of soft policy, meso-level actors, and social influences on purchase intentions. </w:t>
      </w:r>
      <w:r w:rsidRPr="006D22DC">
        <w:rPr>
          <w:i/>
          <w:iCs/>
          <w:noProof/>
          <w:szCs w:val="24"/>
        </w:rPr>
        <w:t>Journal of Public Policy and Marketing</w:t>
      </w:r>
      <w:r w:rsidRPr="006D22DC">
        <w:rPr>
          <w:noProof/>
          <w:szCs w:val="24"/>
        </w:rPr>
        <w:t xml:space="preserve">, </w:t>
      </w:r>
      <w:r w:rsidRPr="006D22DC">
        <w:rPr>
          <w:i/>
          <w:iCs/>
          <w:noProof/>
          <w:szCs w:val="24"/>
        </w:rPr>
        <w:t>37</w:t>
      </w:r>
      <w:r w:rsidRPr="006D22DC">
        <w:rPr>
          <w:noProof/>
          <w:szCs w:val="24"/>
        </w:rPr>
        <w:t>(1), 152–166. https://doi.org/10.1509/jppm.16.215</w:t>
      </w:r>
    </w:p>
    <w:p w:rsidR="006D22DC" w:rsidRPr="006D22DC" w:rsidRDefault="006D22DC" w:rsidP="006D22DC">
      <w:pPr>
        <w:widowControl w:val="0"/>
        <w:adjustRightInd w:val="0"/>
        <w:ind w:left="480" w:hanging="480"/>
        <w:rPr>
          <w:noProof/>
          <w:szCs w:val="24"/>
        </w:rPr>
      </w:pPr>
      <w:r w:rsidRPr="006D22DC">
        <w:rPr>
          <w:noProof/>
          <w:szCs w:val="24"/>
        </w:rPr>
        <w:t xml:space="preserve">Thøgersen, J. (2002). Direct Experience and the Strength of the Personal Norm - Behavior Relationship. </w:t>
      </w:r>
      <w:r w:rsidRPr="006D22DC">
        <w:rPr>
          <w:i/>
          <w:iCs/>
          <w:noProof/>
          <w:szCs w:val="24"/>
        </w:rPr>
        <w:t>Psychology and Marketing</w:t>
      </w:r>
      <w:r w:rsidRPr="006D22DC">
        <w:rPr>
          <w:noProof/>
          <w:szCs w:val="24"/>
        </w:rPr>
        <w:t xml:space="preserve">, </w:t>
      </w:r>
      <w:r w:rsidRPr="006D22DC">
        <w:rPr>
          <w:i/>
          <w:iCs/>
          <w:noProof/>
          <w:szCs w:val="24"/>
        </w:rPr>
        <w:t>19</w:t>
      </w:r>
      <w:r w:rsidRPr="006D22DC">
        <w:rPr>
          <w:noProof/>
          <w:szCs w:val="24"/>
        </w:rPr>
        <w:t>(10), 881–893. https://doi.org/10.1002/mar.10042</w:t>
      </w:r>
    </w:p>
    <w:p w:rsidR="006D22DC" w:rsidRPr="006D22DC" w:rsidRDefault="006D22DC" w:rsidP="006D22DC">
      <w:pPr>
        <w:widowControl w:val="0"/>
        <w:adjustRightInd w:val="0"/>
        <w:ind w:left="480" w:hanging="480"/>
        <w:rPr>
          <w:noProof/>
          <w:szCs w:val="24"/>
        </w:rPr>
      </w:pPr>
      <w:r w:rsidRPr="006D22DC">
        <w:rPr>
          <w:noProof/>
          <w:szCs w:val="24"/>
        </w:rPr>
        <w:t xml:space="preserve">Tong, X., &amp; Su, J. (2018). Exploring young consumers’ trust and purchase intention of organic cotton apparel. </w:t>
      </w:r>
      <w:r w:rsidRPr="006D22DC">
        <w:rPr>
          <w:i/>
          <w:iCs/>
          <w:noProof/>
          <w:szCs w:val="24"/>
        </w:rPr>
        <w:t>Journal of Consumer Marketing</w:t>
      </w:r>
      <w:r w:rsidRPr="006D22DC">
        <w:rPr>
          <w:noProof/>
          <w:szCs w:val="24"/>
        </w:rPr>
        <w:t xml:space="preserve">, </w:t>
      </w:r>
      <w:r w:rsidRPr="006D22DC">
        <w:rPr>
          <w:i/>
          <w:iCs/>
          <w:noProof/>
          <w:szCs w:val="24"/>
        </w:rPr>
        <w:t>35</w:t>
      </w:r>
      <w:r w:rsidRPr="006D22DC">
        <w:rPr>
          <w:noProof/>
          <w:szCs w:val="24"/>
        </w:rPr>
        <w:t>(5), 522–532. https://doi.org/10.1108/JCM-04-2017-2176</w:t>
      </w:r>
    </w:p>
    <w:p w:rsidR="006D22DC" w:rsidRPr="006D22DC" w:rsidRDefault="006D22DC" w:rsidP="006D22DC">
      <w:pPr>
        <w:widowControl w:val="0"/>
        <w:adjustRightInd w:val="0"/>
        <w:ind w:left="480" w:hanging="480"/>
        <w:rPr>
          <w:noProof/>
          <w:szCs w:val="24"/>
        </w:rPr>
      </w:pPr>
      <w:r w:rsidRPr="006D22DC">
        <w:rPr>
          <w:noProof/>
          <w:szCs w:val="24"/>
        </w:rPr>
        <w:t xml:space="preserve">Wei, J., Zhu, W., Marinova, D., &amp; Wang, F. (2017). Household adoption of smog protective behavior: a comparison between two Chinese cities. </w:t>
      </w:r>
      <w:r w:rsidRPr="006D22DC">
        <w:rPr>
          <w:i/>
          <w:iCs/>
          <w:noProof/>
          <w:szCs w:val="24"/>
        </w:rPr>
        <w:t>Journal of Risk Research</w:t>
      </w:r>
      <w:r w:rsidRPr="006D22DC">
        <w:rPr>
          <w:noProof/>
          <w:szCs w:val="24"/>
        </w:rPr>
        <w:t xml:space="preserve">, </w:t>
      </w:r>
      <w:r w:rsidRPr="006D22DC">
        <w:rPr>
          <w:i/>
          <w:iCs/>
          <w:noProof/>
          <w:szCs w:val="24"/>
        </w:rPr>
        <w:t>20</w:t>
      </w:r>
      <w:r w:rsidRPr="006D22DC">
        <w:rPr>
          <w:noProof/>
          <w:szCs w:val="24"/>
        </w:rPr>
        <w:t>(7), 846–867. https://doi.org/10.1080/13669877.2015.1121904</w:t>
      </w:r>
    </w:p>
    <w:p w:rsidR="006D22DC" w:rsidRPr="006D22DC" w:rsidRDefault="006D22DC" w:rsidP="006D22DC">
      <w:pPr>
        <w:widowControl w:val="0"/>
        <w:adjustRightInd w:val="0"/>
        <w:ind w:left="480" w:hanging="480"/>
        <w:rPr>
          <w:noProof/>
          <w:szCs w:val="24"/>
        </w:rPr>
      </w:pPr>
      <w:r w:rsidRPr="006D22DC">
        <w:rPr>
          <w:noProof/>
          <w:szCs w:val="24"/>
        </w:rPr>
        <w:lastRenderedPageBreak/>
        <w:t xml:space="preserve">White, K., Habib, R., &amp; Hardisty, D. J. (2019). How to SHIFT consumer behaviors to be more sustainable: A literature review and guiding framework. </w:t>
      </w:r>
      <w:r w:rsidRPr="006D22DC">
        <w:rPr>
          <w:i/>
          <w:iCs/>
          <w:noProof/>
          <w:szCs w:val="24"/>
        </w:rPr>
        <w:t>Journal of Marketing</w:t>
      </w:r>
      <w:r w:rsidRPr="006D22DC">
        <w:rPr>
          <w:noProof/>
          <w:szCs w:val="24"/>
        </w:rPr>
        <w:t xml:space="preserve">, </w:t>
      </w:r>
      <w:r w:rsidRPr="006D22DC">
        <w:rPr>
          <w:i/>
          <w:iCs/>
          <w:noProof/>
          <w:szCs w:val="24"/>
        </w:rPr>
        <w:t>83</w:t>
      </w:r>
      <w:r w:rsidRPr="006D22DC">
        <w:rPr>
          <w:noProof/>
          <w:szCs w:val="24"/>
        </w:rPr>
        <w:t>(3), 22–49. https://doi.org/10.1177/0022242919825649</w:t>
      </w:r>
    </w:p>
    <w:p w:rsidR="006D22DC" w:rsidRPr="006D22DC" w:rsidRDefault="006D22DC" w:rsidP="006D22DC">
      <w:pPr>
        <w:widowControl w:val="0"/>
        <w:adjustRightInd w:val="0"/>
        <w:ind w:left="480" w:hanging="480"/>
        <w:rPr>
          <w:noProof/>
          <w:szCs w:val="24"/>
        </w:rPr>
      </w:pPr>
      <w:r w:rsidRPr="006D22DC">
        <w:rPr>
          <w:noProof/>
          <w:szCs w:val="24"/>
        </w:rPr>
        <w:t xml:space="preserve">Yang, Z. J., Seo, M., Rickard, L. N., &amp; Harrison, T. M. (2015). Information sufficiency and attribution of responsibility: Predicting support for climate change policy and pro-environmental behavior. </w:t>
      </w:r>
      <w:r w:rsidRPr="006D22DC">
        <w:rPr>
          <w:i/>
          <w:iCs/>
          <w:noProof/>
          <w:szCs w:val="24"/>
        </w:rPr>
        <w:t>Journal of Risk Research</w:t>
      </w:r>
      <w:r w:rsidRPr="006D22DC">
        <w:rPr>
          <w:noProof/>
          <w:szCs w:val="24"/>
        </w:rPr>
        <w:t xml:space="preserve">, </w:t>
      </w:r>
      <w:r w:rsidRPr="006D22DC">
        <w:rPr>
          <w:i/>
          <w:iCs/>
          <w:noProof/>
          <w:szCs w:val="24"/>
        </w:rPr>
        <w:t>18</w:t>
      </w:r>
      <w:r w:rsidRPr="006D22DC">
        <w:rPr>
          <w:noProof/>
          <w:szCs w:val="24"/>
        </w:rPr>
        <w:t>(6), 727–746. https://doi.org/10.1080/13669877.2014.910692</w:t>
      </w:r>
    </w:p>
    <w:p w:rsidR="006D22DC" w:rsidRPr="006D22DC" w:rsidRDefault="006D22DC" w:rsidP="006D22DC">
      <w:pPr>
        <w:widowControl w:val="0"/>
        <w:adjustRightInd w:val="0"/>
        <w:ind w:left="480" w:hanging="480"/>
        <w:rPr>
          <w:noProof/>
        </w:rPr>
      </w:pPr>
      <w:r w:rsidRPr="006D22DC">
        <w:rPr>
          <w:noProof/>
          <w:szCs w:val="24"/>
        </w:rPr>
        <w:t xml:space="preserve">Zhang, Y., Wang, Z., &amp; Zhou, G. (2013). Antecedents of employee electricity saving behavior in organizations: An empirical study based on norm activation model. </w:t>
      </w:r>
      <w:r w:rsidRPr="006D22DC">
        <w:rPr>
          <w:i/>
          <w:iCs/>
          <w:noProof/>
          <w:szCs w:val="24"/>
        </w:rPr>
        <w:t>Energy Policy</w:t>
      </w:r>
      <w:r w:rsidRPr="006D22DC">
        <w:rPr>
          <w:noProof/>
          <w:szCs w:val="24"/>
        </w:rPr>
        <w:t xml:space="preserve">, </w:t>
      </w:r>
      <w:r w:rsidRPr="006D22DC">
        <w:rPr>
          <w:i/>
          <w:iCs/>
          <w:noProof/>
          <w:szCs w:val="24"/>
        </w:rPr>
        <w:t>62</w:t>
      </w:r>
      <w:r w:rsidRPr="006D22DC">
        <w:rPr>
          <w:noProof/>
          <w:szCs w:val="24"/>
        </w:rPr>
        <w:t>, 1120–1127. https://doi.org/10.1016/j.enpol.2013.07.036</w:t>
      </w:r>
    </w:p>
    <w:p w:rsidR="0015149D" w:rsidRPr="00384A87" w:rsidRDefault="0015149D" w:rsidP="006D22DC">
      <w:pPr>
        <w:widowControl w:val="0"/>
        <w:adjustRightInd w:val="0"/>
        <w:ind w:left="480" w:hanging="480"/>
        <w:rPr>
          <w:b/>
        </w:rPr>
      </w:pPr>
      <w:r>
        <w:rPr>
          <w:b/>
        </w:rPr>
        <w:fldChar w:fldCharType="end"/>
      </w:r>
    </w:p>
    <w:p w:rsidR="00C84C39" w:rsidRPr="00FC4C45" w:rsidRDefault="00C84C39" w:rsidP="00C84C39">
      <w:pPr>
        <w:widowControl w:val="0"/>
        <w:adjustRightInd w:val="0"/>
        <w:ind w:left="480" w:hanging="480"/>
      </w:pPr>
    </w:p>
    <w:p w:rsidR="00BE7354" w:rsidRPr="00C84C39" w:rsidRDefault="00BE7354" w:rsidP="00C84C39"/>
    <w:sectPr w:rsidR="00BE7354" w:rsidRPr="00C84C3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MS Gothic"/>
    <w:panose1 w:val="02020609040205080304"/>
    <w:charset w:val="80"/>
    <w:family w:val="roman"/>
    <w:notTrueType/>
    <w:pitch w:val="fixed"/>
    <w:sig w:usb0="00000000" w:usb1="08070000" w:usb2="00000010" w:usb3="00000000" w:csb0="00020000"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6A21854"/>
    <w:multiLevelType w:val="hybridMultilevel"/>
    <w:tmpl w:val="990250EA"/>
    <w:lvl w:ilvl="0" w:tplc="3809000F">
      <w:start w:val="1"/>
      <w:numFmt w:val="decimal"/>
      <w:lvlText w:val="%1."/>
      <w:lvlJc w:val="left"/>
      <w:pPr>
        <w:ind w:left="720" w:hanging="360"/>
      </w:pPr>
    </w:lvl>
    <w:lvl w:ilvl="1" w:tplc="38090019">
      <w:start w:val="1"/>
      <w:numFmt w:val="lowerLetter"/>
      <w:lvlText w:val="%2."/>
      <w:lvlJc w:val="left"/>
      <w:pPr>
        <w:ind w:left="1440" w:hanging="360"/>
      </w:pPr>
    </w:lvl>
    <w:lvl w:ilvl="2" w:tplc="3809001B">
      <w:start w:val="1"/>
      <w:numFmt w:val="lowerRoman"/>
      <w:lvlText w:val="%3."/>
      <w:lvlJc w:val="right"/>
      <w:pPr>
        <w:ind w:left="2160" w:hanging="180"/>
      </w:pPr>
    </w:lvl>
    <w:lvl w:ilvl="3" w:tplc="3809000F">
      <w:start w:val="1"/>
      <w:numFmt w:val="decimal"/>
      <w:lvlText w:val="%4."/>
      <w:lvlJc w:val="left"/>
      <w:pPr>
        <w:ind w:left="2880" w:hanging="360"/>
      </w:pPr>
    </w:lvl>
    <w:lvl w:ilvl="4" w:tplc="38090019">
      <w:start w:val="1"/>
      <w:numFmt w:val="lowerLetter"/>
      <w:lvlText w:val="%5."/>
      <w:lvlJc w:val="left"/>
      <w:pPr>
        <w:ind w:left="3600" w:hanging="360"/>
      </w:pPr>
    </w:lvl>
    <w:lvl w:ilvl="5" w:tplc="3809001B">
      <w:start w:val="1"/>
      <w:numFmt w:val="lowerRoman"/>
      <w:lvlText w:val="%6."/>
      <w:lvlJc w:val="right"/>
      <w:pPr>
        <w:ind w:left="4320" w:hanging="180"/>
      </w:pPr>
    </w:lvl>
    <w:lvl w:ilvl="6" w:tplc="3809000F">
      <w:start w:val="1"/>
      <w:numFmt w:val="decimal"/>
      <w:lvlText w:val="%7."/>
      <w:lvlJc w:val="left"/>
      <w:pPr>
        <w:ind w:left="5040" w:hanging="360"/>
      </w:pPr>
    </w:lvl>
    <w:lvl w:ilvl="7" w:tplc="38090019">
      <w:start w:val="1"/>
      <w:numFmt w:val="lowerLetter"/>
      <w:lvlText w:val="%8."/>
      <w:lvlJc w:val="left"/>
      <w:pPr>
        <w:ind w:left="5760" w:hanging="360"/>
      </w:pPr>
    </w:lvl>
    <w:lvl w:ilvl="8" w:tplc="3809001B">
      <w:start w:val="1"/>
      <w:numFmt w:val="lowerRoman"/>
      <w:lvlText w:val="%9."/>
      <w:lvlJc w:val="right"/>
      <w:pPr>
        <w:ind w:left="6480" w:hanging="180"/>
      </w:pPr>
    </w:lvl>
  </w:abstractNum>
  <w:abstractNum w:abstractNumId="1">
    <w:nsid w:val="51C82546"/>
    <w:multiLevelType w:val="hybridMultilevel"/>
    <w:tmpl w:val="706ECD5E"/>
    <w:lvl w:ilvl="0" w:tplc="3809000F">
      <w:start w:val="1"/>
      <w:numFmt w:val="decimal"/>
      <w:lvlText w:val="%1."/>
      <w:lvlJc w:val="left"/>
      <w:pPr>
        <w:ind w:left="720" w:hanging="360"/>
      </w:pPr>
    </w:lvl>
    <w:lvl w:ilvl="1" w:tplc="38090019">
      <w:start w:val="1"/>
      <w:numFmt w:val="lowerLetter"/>
      <w:lvlText w:val="%2."/>
      <w:lvlJc w:val="left"/>
      <w:pPr>
        <w:ind w:left="1440" w:hanging="360"/>
      </w:pPr>
    </w:lvl>
    <w:lvl w:ilvl="2" w:tplc="3809001B">
      <w:start w:val="1"/>
      <w:numFmt w:val="lowerRoman"/>
      <w:lvlText w:val="%3."/>
      <w:lvlJc w:val="right"/>
      <w:pPr>
        <w:ind w:left="2160" w:hanging="180"/>
      </w:pPr>
    </w:lvl>
    <w:lvl w:ilvl="3" w:tplc="3809000F">
      <w:start w:val="1"/>
      <w:numFmt w:val="decimal"/>
      <w:lvlText w:val="%4."/>
      <w:lvlJc w:val="left"/>
      <w:pPr>
        <w:ind w:left="2880" w:hanging="360"/>
      </w:pPr>
    </w:lvl>
    <w:lvl w:ilvl="4" w:tplc="38090019">
      <w:start w:val="1"/>
      <w:numFmt w:val="lowerLetter"/>
      <w:lvlText w:val="%5."/>
      <w:lvlJc w:val="left"/>
      <w:pPr>
        <w:ind w:left="3600" w:hanging="360"/>
      </w:pPr>
    </w:lvl>
    <w:lvl w:ilvl="5" w:tplc="3809001B">
      <w:start w:val="1"/>
      <w:numFmt w:val="lowerRoman"/>
      <w:lvlText w:val="%6."/>
      <w:lvlJc w:val="right"/>
      <w:pPr>
        <w:ind w:left="4320" w:hanging="180"/>
      </w:pPr>
    </w:lvl>
    <w:lvl w:ilvl="6" w:tplc="3809000F">
      <w:start w:val="1"/>
      <w:numFmt w:val="decimal"/>
      <w:lvlText w:val="%7."/>
      <w:lvlJc w:val="left"/>
      <w:pPr>
        <w:ind w:left="5040" w:hanging="360"/>
      </w:pPr>
    </w:lvl>
    <w:lvl w:ilvl="7" w:tplc="38090019">
      <w:start w:val="1"/>
      <w:numFmt w:val="lowerLetter"/>
      <w:lvlText w:val="%8."/>
      <w:lvlJc w:val="left"/>
      <w:pPr>
        <w:ind w:left="5760" w:hanging="360"/>
      </w:pPr>
    </w:lvl>
    <w:lvl w:ilvl="8" w:tplc="3809001B">
      <w:start w:val="1"/>
      <w:numFmt w:val="lowerRoman"/>
      <w:lvlText w:val="%9."/>
      <w:lvlJc w:val="right"/>
      <w:pPr>
        <w:ind w:left="6480" w:hanging="180"/>
      </w:pPr>
    </w:lvl>
  </w:abstractNum>
  <w:abstractNum w:abstractNumId="2">
    <w:nsid w:val="72340029"/>
    <w:multiLevelType w:val="hybridMultilevel"/>
    <w:tmpl w:val="72DCCD9E"/>
    <w:lvl w:ilvl="0" w:tplc="E4FE6FE8">
      <w:start w:val="1"/>
      <w:numFmt w:val="decimal"/>
      <w:lvlText w:val="%1."/>
      <w:lvlJc w:val="left"/>
      <w:pPr>
        <w:ind w:left="1080" w:hanging="360"/>
      </w:pPr>
    </w:lvl>
    <w:lvl w:ilvl="1" w:tplc="38090019">
      <w:start w:val="1"/>
      <w:numFmt w:val="lowerLetter"/>
      <w:lvlText w:val="%2."/>
      <w:lvlJc w:val="left"/>
      <w:pPr>
        <w:ind w:left="1800" w:hanging="360"/>
      </w:pPr>
    </w:lvl>
    <w:lvl w:ilvl="2" w:tplc="3809001B">
      <w:start w:val="1"/>
      <w:numFmt w:val="lowerRoman"/>
      <w:lvlText w:val="%3."/>
      <w:lvlJc w:val="right"/>
      <w:pPr>
        <w:ind w:left="2520" w:hanging="180"/>
      </w:pPr>
    </w:lvl>
    <w:lvl w:ilvl="3" w:tplc="3809000F">
      <w:start w:val="1"/>
      <w:numFmt w:val="decimal"/>
      <w:lvlText w:val="%4."/>
      <w:lvlJc w:val="left"/>
      <w:pPr>
        <w:ind w:left="3240" w:hanging="360"/>
      </w:pPr>
    </w:lvl>
    <w:lvl w:ilvl="4" w:tplc="38090019">
      <w:start w:val="1"/>
      <w:numFmt w:val="lowerLetter"/>
      <w:lvlText w:val="%5."/>
      <w:lvlJc w:val="left"/>
      <w:pPr>
        <w:ind w:left="3960" w:hanging="360"/>
      </w:pPr>
    </w:lvl>
    <w:lvl w:ilvl="5" w:tplc="3809001B">
      <w:start w:val="1"/>
      <w:numFmt w:val="lowerRoman"/>
      <w:lvlText w:val="%6."/>
      <w:lvlJc w:val="right"/>
      <w:pPr>
        <w:ind w:left="4680" w:hanging="180"/>
      </w:pPr>
    </w:lvl>
    <w:lvl w:ilvl="6" w:tplc="3809000F">
      <w:start w:val="1"/>
      <w:numFmt w:val="decimal"/>
      <w:lvlText w:val="%7."/>
      <w:lvlJc w:val="left"/>
      <w:pPr>
        <w:ind w:left="5400" w:hanging="360"/>
      </w:pPr>
    </w:lvl>
    <w:lvl w:ilvl="7" w:tplc="38090019">
      <w:start w:val="1"/>
      <w:numFmt w:val="lowerLetter"/>
      <w:lvlText w:val="%8."/>
      <w:lvlJc w:val="left"/>
      <w:pPr>
        <w:ind w:left="6120" w:hanging="360"/>
      </w:pPr>
    </w:lvl>
    <w:lvl w:ilvl="8" w:tplc="3809001B">
      <w:start w:val="1"/>
      <w:numFmt w:val="lowerRoman"/>
      <w:lvlText w:val="%9."/>
      <w:lvlJc w:val="right"/>
      <w:pPr>
        <w:ind w:left="6840" w:hanging="180"/>
      </w:pPr>
    </w:lvl>
  </w:abstractNum>
  <w:abstractNum w:abstractNumId="3">
    <w:nsid w:val="737E6C9B"/>
    <w:multiLevelType w:val="hybridMultilevel"/>
    <w:tmpl w:val="6AE66960"/>
    <w:lvl w:ilvl="0" w:tplc="E4FE6FE8">
      <w:start w:val="1"/>
      <w:numFmt w:val="decimal"/>
      <w:lvlText w:val="%1."/>
      <w:lvlJc w:val="left"/>
      <w:pPr>
        <w:ind w:left="1080" w:hanging="360"/>
      </w:pPr>
    </w:lvl>
    <w:lvl w:ilvl="1" w:tplc="38090019">
      <w:start w:val="1"/>
      <w:numFmt w:val="lowerLetter"/>
      <w:lvlText w:val="%2."/>
      <w:lvlJc w:val="left"/>
      <w:pPr>
        <w:ind w:left="1800" w:hanging="360"/>
      </w:pPr>
    </w:lvl>
    <w:lvl w:ilvl="2" w:tplc="3809001B">
      <w:start w:val="1"/>
      <w:numFmt w:val="lowerRoman"/>
      <w:lvlText w:val="%3."/>
      <w:lvlJc w:val="right"/>
      <w:pPr>
        <w:ind w:left="2520" w:hanging="180"/>
      </w:pPr>
    </w:lvl>
    <w:lvl w:ilvl="3" w:tplc="3809000F">
      <w:start w:val="1"/>
      <w:numFmt w:val="decimal"/>
      <w:lvlText w:val="%4."/>
      <w:lvlJc w:val="left"/>
      <w:pPr>
        <w:ind w:left="3240" w:hanging="360"/>
      </w:pPr>
    </w:lvl>
    <w:lvl w:ilvl="4" w:tplc="38090019">
      <w:start w:val="1"/>
      <w:numFmt w:val="lowerLetter"/>
      <w:lvlText w:val="%5."/>
      <w:lvlJc w:val="left"/>
      <w:pPr>
        <w:ind w:left="3960" w:hanging="360"/>
      </w:pPr>
    </w:lvl>
    <w:lvl w:ilvl="5" w:tplc="3809001B">
      <w:start w:val="1"/>
      <w:numFmt w:val="lowerRoman"/>
      <w:lvlText w:val="%6."/>
      <w:lvlJc w:val="right"/>
      <w:pPr>
        <w:ind w:left="4680" w:hanging="180"/>
      </w:pPr>
    </w:lvl>
    <w:lvl w:ilvl="6" w:tplc="3809000F">
      <w:start w:val="1"/>
      <w:numFmt w:val="decimal"/>
      <w:lvlText w:val="%7."/>
      <w:lvlJc w:val="left"/>
      <w:pPr>
        <w:ind w:left="5400" w:hanging="360"/>
      </w:pPr>
    </w:lvl>
    <w:lvl w:ilvl="7" w:tplc="38090019">
      <w:start w:val="1"/>
      <w:numFmt w:val="lowerLetter"/>
      <w:lvlText w:val="%8."/>
      <w:lvlJc w:val="left"/>
      <w:pPr>
        <w:ind w:left="6120" w:hanging="360"/>
      </w:pPr>
    </w:lvl>
    <w:lvl w:ilvl="8" w:tplc="3809001B">
      <w:start w:val="1"/>
      <w:numFmt w:val="lowerRoman"/>
      <w:lvlText w:val="%9."/>
      <w:lvlJc w:val="right"/>
      <w:pPr>
        <w:ind w:left="684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4C39"/>
    <w:rsid w:val="0015149D"/>
    <w:rsid w:val="00177705"/>
    <w:rsid w:val="0032214B"/>
    <w:rsid w:val="00415827"/>
    <w:rsid w:val="0044053E"/>
    <w:rsid w:val="00631405"/>
    <w:rsid w:val="006D22DC"/>
    <w:rsid w:val="00852FE5"/>
    <w:rsid w:val="008B52C9"/>
    <w:rsid w:val="00915A1B"/>
    <w:rsid w:val="00992158"/>
    <w:rsid w:val="00BE7354"/>
    <w:rsid w:val="00C84C39"/>
    <w:rsid w:val="00E157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liases w:val="Body text"/>
    <w:qFormat/>
    <w:rsid w:val="00C84C39"/>
    <w:pPr>
      <w:autoSpaceDE w:val="0"/>
      <w:autoSpaceDN w:val="0"/>
      <w:spacing w:after="0" w:line="240" w:lineRule="auto"/>
      <w:jc w:val="both"/>
    </w:pPr>
    <w:rPr>
      <w:rFonts w:ascii="Times New Roman" w:eastAsia="Times New Roman" w:hAnsi="Times New Roman" w:cs="Times New Roman"/>
      <w:szCs w:val="20"/>
    </w:rPr>
  </w:style>
  <w:style w:type="paragraph" w:styleId="Heading1">
    <w:name w:val="heading 1"/>
    <w:basedOn w:val="Normal"/>
    <w:link w:val="Heading1Char"/>
    <w:uiPriority w:val="9"/>
    <w:qFormat/>
    <w:rsid w:val="00C84C39"/>
    <w:pPr>
      <w:widowControl w:val="0"/>
      <w:ind w:left="116"/>
      <w:jc w:val="left"/>
      <w:outlineLvl w:val="0"/>
    </w:pPr>
    <w:rPr>
      <w:b/>
      <w:bCs/>
      <w:szCs w:val="22"/>
      <w:lang w:val="i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nhideWhenUsed/>
    <w:rsid w:val="00C84C39"/>
    <w:rPr>
      <w:color w:val="0000FF"/>
      <w:u w:val="single"/>
    </w:rPr>
  </w:style>
  <w:style w:type="paragraph" w:customStyle="1" w:styleId="StyleAuthorsAfter1pt">
    <w:name w:val="Style Authors + After:  1 pt"/>
    <w:basedOn w:val="Normal"/>
    <w:rsid w:val="00C84C39"/>
    <w:pPr>
      <w:framePr w:w="9072" w:hSpace="187" w:vSpace="187" w:wrap="notBeside" w:vAnchor="text" w:hAnchor="page" w:xAlign="center" w:y="1"/>
      <w:spacing w:line="360" w:lineRule="auto"/>
      <w:jc w:val="center"/>
    </w:pPr>
    <w:rPr>
      <w:sz w:val="24"/>
    </w:rPr>
  </w:style>
  <w:style w:type="paragraph" w:customStyle="1" w:styleId="Abstract">
    <w:name w:val="Abstract"/>
    <w:rsid w:val="00C84C39"/>
    <w:pPr>
      <w:spacing w:before="20" w:line="240" w:lineRule="auto"/>
      <w:jc w:val="both"/>
    </w:pPr>
    <w:rPr>
      <w:rFonts w:ascii="Times New Roman" w:eastAsia="Times New Roman" w:hAnsi="Times New Roman" w:cs="Times New Roman"/>
      <w:bCs/>
      <w:i/>
      <w:sz w:val="20"/>
      <w:szCs w:val="18"/>
    </w:rPr>
  </w:style>
  <w:style w:type="paragraph" w:styleId="ListParagraph">
    <w:name w:val="List Paragraph"/>
    <w:basedOn w:val="Normal"/>
    <w:uiPriority w:val="34"/>
    <w:qFormat/>
    <w:rsid w:val="00C84C39"/>
    <w:pPr>
      <w:autoSpaceDE/>
      <w:autoSpaceDN/>
      <w:spacing w:after="160" w:line="259" w:lineRule="auto"/>
      <w:ind w:left="720"/>
      <w:contextualSpacing/>
      <w:jc w:val="left"/>
    </w:pPr>
    <w:rPr>
      <w:rFonts w:ascii="Calibri" w:eastAsia="Calibri" w:hAnsi="Calibri"/>
      <w:szCs w:val="22"/>
      <w:lang w:val="id-ID"/>
    </w:rPr>
  </w:style>
  <w:style w:type="paragraph" w:styleId="BalloonText">
    <w:name w:val="Balloon Text"/>
    <w:basedOn w:val="Normal"/>
    <w:link w:val="BalloonTextChar"/>
    <w:uiPriority w:val="99"/>
    <w:semiHidden/>
    <w:unhideWhenUsed/>
    <w:rsid w:val="00C84C39"/>
    <w:rPr>
      <w:rFonts w:ascii="Tahoma" w:hAnsi="Tahoma" w:cs="Tahoma"/>
      <w:sz w:val="16"/>
      <w:szCs w:val="16"/>
    </w:rPr>
  </w:style>
  <w:style w:type="character" w:customStyle="1" w:styleId="BalloonTextChar">
    <w:name w:val="Balloon Text Char"/>
    <w:basedOn w:val="DefaultParagraphFont"/>
    <w:link w:val="BalloonText"/>
    <w:uiPriority w:val="99"/>
    <w:semiHidden/>
    <w:rsid w:val="00C84C39"/>
    <w:rPr>
      <w:rFonts w:ascii="Tahoma" w:eastAsia="Times New Roman" w:hAnsi="Tahoma" w:cs="Tahoma"/>
      <w:sz w:val="16"/>
      <w:szCs w:val="16"/>
    </w:rPr>
  </w:style>
  <w:style w:type="character" w:customStyle="1" w:styleId="selectable-text">
    <w:name w:val="selectable-text"/>
    <w:basedOn w:val="DefaultParagraphFont"/>
    <w:rsid w:val="00C84C39"/>
  </w:style>
  <w:style w:type="character" w:customStyle="1" w:styleId="Heading1Char">
    <w:name w:val="Heading 1 Char"/>
    <w:basedOn w:val="DefaultParagraphFont"/>
    <w:link w:val="Heading1"/>
    <w:uiPriority w:val="9"/>
    <w:rsid w:val="00C84C39"/>
    <w:rPr>
      <w:rFonts w:ascii="Times New Roman" w:eastAsia="Times New Roman" w:hAnsi="Times New Roman" w:cs="Times New Roman"/>
      <w:b/>
      <w:bCs/>
      <w:lang w:val="id"/>
    </w:rPr>
  </w:style>
  <w:style w:type="character" w:customStyle="1" w:styleId="BodyTextChar">
    <w:name w:val="Body Text Char"/>
    <w:basedOn w:val="DefaultParagraphFont"/>
    <w:link w:val="BodyText"/>
    <w:uiPriority w:val="1"/>
    <w:rsid w:val="00C84C39"/>
    <w:rPr>
      <w:rFonts w:ascii="Times New Roman" w:eastAsia="Times New Roman" w:hAnsi="Times New Roman" w:cs="Times New Roman"/>
      <w:lang w:val="id"/>
    </w:rPr>
  </w:style>
  <w:style w:type="paragraph" w:styleId="BodyText">
    <w:name w:val="Body Text"/>
    <w:basedOn w:val="Normal"/>
    <w:link w:val="BodyTextChar"/>
    <w:uiPriority w:val="1"/>
    <w:qFormat/>
    <w:rsid w:val="00C84C39"/>
    <w:pPr>
      <w:widowControl w:val="0"/>
      <w:jc w:val="left"/>
    </w:pPr>
    <w:rPr>
      <w:szCs w:val="22"/>
      <w:lang w:val="id"/>
    </w:rPr>
  </w:style>
  <w:style w:type="paragraph" w:customStyle="1" w:styleId="TextBody">
    <w:name w:val="TextBody"/>
    <w:basedOn w:val="Normal"/>
    <w:rsid w:val="00C84C39"/>
    <w:pPr>
      <w:autoSpaceDE/>
      <w:autoSpaceDN/>
      <w:ind w:firstLine="397"/>
    </w:pPr>
    <w:rPr>
      <w:rFonts w:eastAsia="MS Mincho"/>
      <w:sz w:val="20"/>
    </w:rPr>
  </w:style>
  <w:style w:type="paragraph" w:customStyle="1" w:styleId="Normal-Benefit-Awalparagraf">
    <w:name w:val="Normal - Benefit - Awal paragraf"/>
    <w:basedOn w:val="Normal"/>
    <w:link w:val="Normal-Benefit-AwalparagrafChar"/>
    <w:qFormat/>
    <w:rsid w:val="006D22DC"/>
    <w:pPr>
      <w:autoSpaceDE/>
      <w:autoSpaceDN/>
    </w:pPr>
    <w:rPr>
      <w:rFonts w:eastAsiaTheme="minorHAnsi"/>
      <w:sz w:val="24"/>
      <w:szCs w:val="24"/>
    </w:rPr>
  </w:style>
  <w:style w:type="character" w:customStyle="1" w:styleId="Normal-Benefit-AwalparagrafChar">
    <w:name w:val="Normal - Benefit - Awal paragraf Char"/>
    <w:basedOn w:val="DefaultParagraphFont"/>
    <w:link w:val="Normal-Benefit-Awalparagraf"/>
    <w:rsid w:val="006D22DC"/>
    <w:rPr>
      <w:rFonts w:ascii="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liases w:val="Body text"/>
    <w:qFormat/>
    <w:rsid w:val="00C84C39"/>
    <w:pPr>
      <w:autoSpaceDE w:val="0"/>
      <w:autoSpaceDN w:val="0"/>
      <w:spacing w:after="0" w:line="240" w:lineRule="auto"/>
      <w:jc w:val="both"/>
    </w:pPr>
    <w:rPr>
      <w:rFonts w:ascii="Times New Roman" w:eastAsia="Times New Roman" w:hAnsi="Times New Roman" w:cs="Times New Roman"/>
      <w:szCs w:val="20"/>
    </w:rPr>
  </w:style>
  <w:style w:type="paragraph" w:styleId="Heading1">
    <w:name w:val="heading 1"/>
    <w:basedOn w:val="Normal"/>
    <w:link w:val="Heading1Char"/>
    <w:uiPriority w:val="9"/>
    <w:qFormat/>
    <w:rsid w:val="00C84C39"/>
    <w:pPr>
      <w:widowControl w:val="0"/>
      <w:ind w:left="116"/>
      <w:jc w:val="left"/>
      <w:outlineLvl w:val="0"/>
    </w:pPr>
    <w:rPr>
      <w:b/>
      <w:bCs/>
      <w:szCs w:val="22"/>
      <w:lang w:val="i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nhideWhenUsed/>
    <w:rsid w:val="00C84C39"/>
    <w:rPr>
      <w:color w:val="0000FF"/>
      <w:u w:val="single"/>
    </w:rPr>
  </w:style>
  <w:style w:type="paragraph" w:customStyle="1" w:styleId="StyleAuthorsAfter1pt">
    <w:name w:val="Style Authors + After:  1 pt"/>
    <w:basedOn w:val="Normal"/>
    <w:rsid w:val="00C84C39"/>
    <w:pPr>
      <w:framePr w:w="9072" w:hSpace="187" w:vSpace="187" w:wrap="notBeside" w:vAnchor="text" w:hAnchor="page" w:xAlign="center" w:y="1"/>
      <w:spacing w:line="360" w:lineRule="auto"/>
      <w:jc w:val="center"/>
    </w:pPr>
    <w:rPr>
      <w:sz w:val="24"/>
    </w:rPr>
  </w:style>
  <w:style w:type="paragraph" w:customStyle="1" w:styleId="Abstract">
    <w:name w:val="Abstract"/>
    <w:rsid w:val="00C84C39"/>
    <w:pPr>
      <w:spacing w:before="20" w:line="240" w:lineRule="auto"/>
      <w:jc w:val="both"/>
    </w:pPr>
    <w:rPr>
      <w:rFonts w:ascii="Times New Roman" w:eastAsia="Times New Roman" w:hAnsi="Times New Roman" w:cs="Times New Roman"/>
      <w:bCs/>
      <w:i/>
      <w:sz w:val="20"/>
      <w:szCs w:val="18"/>
    </w:rPr>
  </w:style>
  <w:style w:type="paragraph" w:styleId="ListParagraph">
    <w:name w:val="List Paragraph"/>
    <w:basedOn w:val="Normal"/>
    <w:uiPriority w:val="34"/>
    <w:qFormat/>
    <w:rsid w:val="00C84C39"/>
    <w:pPr>
      <w:autoSpaceDE/>
      <w:autoSpaceDN/>
      <w:spacing w:after="160" w:line="259" w:lineRule="auto"/>
      <w:ind w:left="720"/>
      <w:contextualSpacing/>
      <w:jc w:val="left"/>
    </w:pPr>
    <w:rPr>
      <w:rFonts w:ascii="Calibri" w:eastAsia="Calibri" w:hAnsi="Calibri"/>
      <w:szCs w:val="22"/>
      <w:lang w:val="id-ID"/>
    </w:rPr>
  </w:style>
  <w:style w:type="paragraph" w:styleId="BalloonText">
    <w:name w:val="Balloon Text"/>
    <w:basedOn w:val="Normal"/>
    <w:link w:val="BalloonTextChar"/>
    <w:uiPriority w:val="99"/>
    <w:semiHidden/>
    <w:unhideWhenUsed/>
    <w:rsid w:val="00C84C39"/>
    <w:rPr>
      <w:rFonts w:ascii="Tahoma" w:hAnsi="Tahoma" w:cs="Tahoma"/>
      <w:sz w:val="16"/>
      <w:szCs w:val="16"/>
    </w:rPr>
  </w:style>
  <w:style w:type="character" w:customStyle="1" w:styleId="BalloonTextChar">
    <w:name w:val="Balloon Text Char"/>
    <w:basedOn w:val="DefaultParagraphFont"/>
    <w:link w:val="BalloonText"/>
    <w:uiPriority w:val="99"/>
    <w:semiHidden/>
    <w:rsid w:val="00C84C39"/>
    <w:rPr>
      <w:rFonts w:ascii="Tahoma" w:eastAsia="Times New Roman" w:hAnsi="Tahoma" w:cs="Tahoma"/>
      <w:sz w:val="16"/>
      <w:szCs w:val="16"/>
    </w:rPr>
  </w:style>
  <w:style w:type="character" w:customStyle="1" w:styleId="selectable-text">
    <w:name w:val="selectable-text"/>
    <w:basedOn w:val="DefaultParagraphFont"/>
    <w:rsid w:val="00C84C39"/>
  </w:style>
  <w:style w:type="character" w:customStyle="1" w:styleId="Heading1Char">
    <w:name w:val="Heading 1 Char"/>
    <w:basedOn w:val="DefaultParagraphFont"/>
    <w:link w:val="Heading1"/>
    <w:uiPriority w:val="9"/>
    <w:rsid w:val="00C84C39"/>
    <w:rPr>
      <w:rFonts w:ascii="Times New Roman" w:eastAsia="Times New Roman" w:hAnsi="Times New Roman" w:cs="Times New Roman"/>
      <w:b/>
      <w:bCs/>
      <w:lang w:val="id"/>
    </w:rPr>
  </w:style>
  <w:style w:type="character" w:customStyle="1" w:styleId="BodyTextChar">
    <w:name w:val="Body Text Char"/>
    <w:basedOn w:val="DefaultParagraphFont"/>
    <w:link w:val="BodyText"/>
    <w:uiPriority w:val="1"/>
    <w:rsid w:val="00C84C39"/>
    <w:rPr>
      <w:rFonts w:ascii="Times New Roman" w:eastAsia="Times New Roman" w:hAnsi="Times New Roman" w:cs="Times New Roman"/>
      <w:lang w:val="id"/>
    </w:rPr>
  </w:style>
  <w:style w:type="paragraph" w:styleId="BodyText">
    <w:name w:val="Body Text"/>
    <w:basedOn w:val="Normal"/>
    <w:link w:val="BodyTextChar"/>
    <w:uiPriority w:val="1"/>
    <w:qFormat/>
    <w:rsid w:val="00C84C39"/>
    <w:pPr>
      <w:widowControl w:val="0"/>
      <w:jc w:val="left"/>
    </w:pPr>
    <w:rPr>
      <w:szCs w:val="22"/>
      <w:lang w:val="id"/>
    </w:rPr>
  </w:style>
  <w:style w:type="paragraph" w:customStyle="1" w:styleId="TextBody">
    <w:name w:val="TextBody"/>
    <w:basedOn w:val="Normal"/>
    <w:rsid w:val="00C84C39"/>
    <w:pPr>
      <w:autoSpaceDE/>
      <w:autoSpaceDN/>
      <w:ind w:firstLine="397"/>
    </w:pPr>
    <w:rPr>
      <w:rFonts w:eastAsia="MS Mincho"/>
      <w:sz w:val="20"/>
    </w:rPr>
  </w:style>
  <w:style w:type="paragraph" w:customStyle="1" w:styleId="Normal-Benefit-Awalparagraf">
    <w:name w:val="Normal - Benefit - Awal paragraf"/>
    <w:basedOn w:val="Normal"/>
    <w:link w:val="Normal-Benefit-AwalparagrafChar"/>
    <w:qFormat/>
    <w:rsid w:val="006D22DC"/>
    <w:pPr>
      <w:autoSpaceDE/>
      <w:autoSpaceDN/>
    </w:pPr>
    <w:rPr>
      <w:rFonts w:eastAsiaTheme="minorHAnsi"/>
      <w:sz w:val="24"/>
      <w:szCs w:val="24"/>
    </w:rPr>
  </w:style>
  <w:style w:type="character" w:customStyle="1" w:styleId="Normal-Benefit-AwalparagrafChar">
    <w:name w:val="Normal - Benefit - Awal paragraf Char"/>
    <w:basedOn w:val="DefaultParagraphFont"/>
    <w:link w:val="Normal-Benefit-Awalparagraf"/>
    <w:rsid w:val="006D22DC"/>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hyperlink" Target="mailto:dinirusnia@gmail.com1"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699A7B-2FF9-446A-99B9-595043A2B0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102</TotalTime>
  <Pages>10</Pages>
  <Words>17565</Words>
  <Characters>100127</Characters>
  <Application>Microsoft Office Word</Application>
  <DocSecurity>0</DocSecurity>
  <Lines>834</Lines>
  <Paragraphs>234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117458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DIYAH AYU</dc:creator>
  <cp:lastModifiedBy>DIYAH AYU</cp:lastModifiedBy>
  <cp:revision>1</cp:revision>
  <dcterms:created xsi:type="dcterms:W3CDTF">2023-06-06T05:41:00Z</dcterms:created>
  <dcterms:modified xsi:type="dcterms:W3CDTF">2023-06-06T08:07:00Z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http://www.zotero.org/styles/american-medical-association</vt:lpwstr>
  </property>
  <property fmtid="{D5CDD505-2E9C-101B-9397-08002B2CF9AE}" pid="3" name="Mendeley Recent Style Name 0_1">
    <vt:lpwstr>American Medical Association 11th edition</vt:lpwstr>
  </property>
  <property fmtid="{D5CDD505-2E9C-101B-9397-08002B2CF9AE}" pid="4" name="Mendeley Recent Style Id 1_1">
    <vt:lpwstr>http://www.zotero.org/styles/american-political-science-association</vt:lpwstr>
  </property>
  <property fmtid="{D5CDD505-2E9C-101B-9397-08002B2CF9AE}" pid="5" name="Mendeley Recent Style Name 1_1">
    <vt:lpwstr>American Political Science Association</vt:lpwstr>
  </property>
  <property fmtid="{D5CDD505-2E9C-101B-9397-08002B2CF9AE}" pid="6" name="Mendeley Recent Style Id 2_1">
    <vt:lpwstr>http://www.zotero.org/styles/apa</vt:lpwstr>
  </property>
  <property fmtid="{D5CDD505-2E9C-101B-9397-08002B2CF9AE}" pid="7" name="Mendeley Recent Style Name 2_1">
    <vt:lpwstr>American Psychological Association 7th edition</vt:lpwstr>
  </property>
  <property fmtid="{D5CDD505-2E9C-101B-9397-08002B2CF9AE}" pid="8" name="Mendeley Recent Style Id 3_1">
    <vt:lpwstr>http://www.zotero.org/styles/american-sociological-association</vt:lpwstr>
  </property>
  <property fmtid="{D5CDD505-2E9C-101B-9397-08002B2CF9AE}" pid="9" name="Mendeley Recent Style Name 3_1">
    <vt:lpwstr>American Sociological Association 6th edition</vt:lpwstr>
  </property>
  <property fmtid="{D5CDD505-2E9C-101B-9397-08002B2CF9AE}" pid="10" name="Mendeley Recent Style Id 4_1">
    <vt:lpwstr>http://www.zotero.org/styles/chicago-author-date</vt:lpwstr>
  </property>
  <property fmtid="{D5CDD505-2E9C-101B-9397-08002B2CF9AE}" pid="11" name="Mendeley Recent Style Name 4_1">
    <vt:lpwstr>Chicago Manual of Style 17th edition (author-date)</vt:lpwstr>
  </property>
  <property fmtid="{D5CDD505-2E9C-101B-9397-08002B2CF9AE}" pid="12" name="Mendeley Recent Style Id 5_1">
    <vt:lpwstr>http://www.zotero.org/styles/harvard-cite-them-right</vt:lpwstr>
  </property>
  <property fmtid="{D5CDD505-2E9C-101B-9397-08002B2CF9AE}" pid="13" name="Mendeley Recent Style Name 5_1">
    <vt:lpwstr>Cite Them Right 12th edition - Harvard</vt:lpwstr>
  </property>
  <property fmtid="{D5CDD505-2E9C-101B-9397-08002B2CF9AE}" pid="14" name="Mendeley Recent Style Id 6_1">
    <vt:lpwstr>http://www.zotero.org/styles/ieee</vt:lpwstr>
  </property>
  <property fmtid="{D5CDD505-2E9C-101B-9397-08002B2CF9AE}" pid="15" name="Mendeley Recent Style Name 6_1">
    <vt:lpwstr>IEEE</vt:lpwstr>
  </property>
  <property fmtid="{D5CDD505-2E9C-101B-9397-08002B2CF9AE}" pid="16" name="Mendeley Recent Style Id 7_1">
    <vt:lpwstr>http://www.zotero.org/styles/modern-humanities-research-association</vt:lpwstr>
  </property>
  <property fmtid="{D5CDD505-2E9C-101B-9397-08002B2CF9AE}" pid="17" name="Mendeley Recent Style Name 7_1">
    <vt:lpwstr>Modern Humanities Research Association 3rd edition (note with bibliography)</vt:lpwstr>
  </property>
  <property fmtid="{D5CDD505-2E9C-101B-9397-08002B2CF9AE}" pid="18" name="Mendeley Recent Style Id 8_1">
    <vt:lpwstr>http://www.zotero.org/styles/modern-language-association</vt:lpwstr>
  </property>
  <property fmtid="{D5CDD505-2E9C-101B-9397-08002B2CF9AE}" pid="19" name="Mendeley Recent Style Name 8_1">
    <vt:lpwstr>Modern Language Association 9th edition</vt:lpwstr>
  </property>
  <property fmtid="{D5CDD505-2E9C-101B-9397-08002B2CF9AE}" pid="20" name="Mendeley Recent Style Id 9_1">
    <vt:lpwstr>http://www.zotero.org/styles/nature</vt:lpwstr>
  </property>
  <property fmtid="{D5CDD505-2E9C-101B-9397-08002B2CF9AE}" pid="21" name="Mendeley Recent Style Name 9_1">
    <vt:lpwstr>Nature</vt:lpwstr>
  </property>
  <property fmtid="{D5CDD505-2E9C-101B-9397-08002B2CF9AE}" pid="22" name="Mendeley Document_1">
    <vt:lpwstr>True</vt:lpwstr>
  </property>
  <property fmtid="{D5CDD505-2E9C-101B-9397-08002B2CF9AE}" pid="23" name="Mendeley Unique User Id_1">
    <vt:lpwstr>098a825d-c008-349f-87b9-5e3fd132ef3e</vt:lpwstr>
  </property>
  <property fmtid="{D5CDD505-2E9C-101B-9397-08002B2CF9AE}" pid="24" name="Mendeley Citation Style_1">
    <vt:lpwstr>http://www.zotero.org/styles/apa</vt:lpwstr>
  </property>
</Properties>
</file>